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cs="Times New Roman"/>
          <w:color w:val="000000"/>
          <w:sz w:val="28"/>
          <w:szCs w:val="28"/>
          <w:highlight w:val="none"/>
          <w:u w:val="single"/>
          <w:shd w:val="clear" w:color="auto" w:fill="auto"/>
        </w:rPr>
      </w:pPr>
      <w:r>
        <w:rPr>
          <w:rFonts w:ascii="Times New Roman" w:hAnsi="Times New Roman" w:cs="Times New Roman"/>
          <w:color w:val="000000"/>
          <w:sz w:val="28"/>
          <w:szCs w:val="28"/>
          <w:highlight w:val="none"/>
          <w:shd w:val="clear" w:color="auto" w:fill="auto"/>
        </w:rPr>
        <w:t xml:space="preserve">                            </w:t>
      </w:r>
      <w:r>
        <w:rPr>
          <w:rFonts w:hint="eastAsia" w:ascii="Times New Roman" w:hAnsi="Times New Roman" w:cs="Times New Roman"/>
          <w:color w:val="000000"/>
          <w:sz w:val="28"/>
          <w:szCs w:val="28"/>
          <w:highlight w:val="none"/>
          <w:shd w:val="clear" w:color="auto" w:fill="auto"/>
        </w:rPr>
        <w:t xml:space="preserve">  </w:t>
      </w:r>
      <w:r>
        <w:rPr>
          <w:rFonts w:ascii="Times New Roman" w:hAnsi="Times New Roman" w:cs="Times New Roman"/>
          <w:color w:val="000000"/>
          <w:sz w:val="28"/>
          <w:szCs w:val="28"/>
          <w:highlight w:val="none"/>
          <w:shd w:val="clear" w:color="auto" w:fill="auto"/>
        </w:rPr>
        <w:t xml:space="preserve">招标编号：ZBXM-山东世元-2021-00001   </w:t>
      </w:r>
      <w:r>
        <w:rPr>
          <w:rFonts w:ascii="Times New Roman" w:hAnsi="Times New Roman" w:cs="Times New Roman"/>
          <w:color w:val="000000"/>
          <w:sz w:val="28"/>
          <w:szCs w:val="28"/>
          <w:highlight w:val="none"/>
          <w:u w:val="single"/>
          <w:shd w:val="clear" w:color="auto" w:fill="auto"/>
        </w:rPr>
        <w:t xml:space="preserve">     </w:t>
      </w: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jc w:val="center"/>
        <w:rPr>
          <w:rFonts w:ascii="Times New Roman" w:hAnsi="Times New Roman" w:cs="Times New Roman"/>
          <w:b/>
          <w:sz w:val="48"/>
          <w:szCs w:val="48"/>
          <w:highlight w:val="none"/>
          <w:shd w:val="clear" w:color="auto" w:fill="auto"/>
        </w:rPr>
      </w:pPr>
      <w:r>
        <w:rPr>
          <w:rFonts w:hint="eastAsia" w:ascii="Times New Roman" w:hAnsi="Times New Roman" w:cs="Times New Roman"/>
          <w:b/>
          <w:sz w:val="48"/>
          <w:szCs w:val="48"/>
          <w:highlight w:val="none"/>
          <w:shd w:val="clear" w:color="auto" w:fill="auto"/>
        </w:rPr>
        <w:t>青岛国信金融中心项目</w:t>
      </w:r>
    </w:p>
    <w:p>
      <w:pPr>
        <w:spacing w:before="0" w:after="0"/>
        <w:jc w:val="center"/>
        <w:rPr>
          <w:rFonts w:ascii="Times New Roman" w:hAnsi="Times New Roman" w:cs="Times New Roman"/>
          <w:b/>
          <w:sz w:val="48"/>
          <w:szCs w:val="48"/>
          <w:highlight w:val="none"/>
          <w:shd w:val="clear" w:color="auto" w:fill="auto"/>
        </w:rPr>
      </w:pPr>
      <w:r>
        <w:rPr>
          <w:rFonts w:hint="eastAsia" w:ascii="Times New Roman" w:hAnsi="Times New Roman" w:cs="Times New Roman"/>
          <w:b/>
          <w:sz w:val="48"/>
          <w:szCs w:val="48"/>
          <w:highlight w:val="none"/>
          <w:shd w:val="clear" w:color="auto" w:fill="auto"/>
        </w:rPr>
        <w:t>酒店电视</w:t>
      </w:r>
      <w:r>
        <w:rPr>
          <w:rFonts w:ascii="Times New Roman" w:hAnsi="Times New Roman" w:cs="Times New Roman"/>
          <w:b/>
          <w:sz w:val="48"/>
          <w:szCs w:val="48"/>
          <w:highlight w:val="none"/>
          <w:shd w:val="clear" w:color="auto" w:fill="auto"/>
        </w:rPr>
        <w:t>采购</w:t>
      </w:r>
      <w:r>
        <w:rPr>
          <w:rFonts w:hint="eastAsia" w:ascii="Times New Roman" w:hAnsi="Times New Roman" w:cs="Times New Roman"/>
          <w:b/>
          <w:sz w:val="48"/>
          <w:szCs w:val="48"/>
          <w:highlight w:val="none"/>
          <w:shd w:val="clear" w:color="auto" w:fill="auto"/>
        </w:rPr>
        <w:t>安装</w:t>
      </w:r>
    </w:p>
    <w:p>
      <w:pPr>
        <w:spacing w:before="0" w:after="0"/>
        <w:jc w:val="center"/>
        <w:rPr>
          <w:rFonts w:ascii="Times New Roman" w:hAnsi="Times New Roman" w:cs="Times New Roman"/>
          <w:sz w:val="48"/>
          <w:szCs w:val="48"/>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jc w:val="right"/>
        <w:rPr>
          <w:rFonts w:ascii="Times New Roman" w:hAnsi="Times New Roman" w:cs="Times New Roman"/>
          <w:color w:val="000000"/>
          <w:highlight w:val="none"/>
          <w:shd w:val="clear" w:color="auto" w:fill="auto"/>
        </w:rPr>
      </w:pPr>
    </w:p>
    <w:p>
      <w:pPr>
        <w:spacing w:before="0" w:after="0"/>
        <w:rPr>
          <w:rFonts w:ascii="Times New Roman" w:hAnsi="Times New Roman" w:cs="Times New Roman"/>
          <w:sz w:val="28"/>
          <w:szCs w:val="28"/>
          <w:highlight w:val="none"/>
          <w:shd w:val="clear" w:color="auto" w:fill="auto"/>
        </w:rPr>
      </w:pPr>
    </w:p>
    <w:p>
      <w:pPr>
        <w:spacing w:before="0" w:after="0"/>
        <w:rPr>
          <w:rFonts w:ascii="Times New Roman" w:hAnsi="Times New Roman" w:cs="Times New Roman"/>
          <w:color w:val="000000"/>
          <w:sz w:val="28"/>
          <w:highlight w:val="none"/>
          <w:shd w:val="clear" w:color="auto" w:fill="auto"/>
        </w:rPr>
      </w:pPr>
    </w:p>
    <w:p>
      <w:pPr>
        <w:spacing w:before="0" w:after="0"/>
        <w:jc w:val="center"/>
        <w:rPr>
          <w:rFonts w:ascii="Times New Roman" w:hAnsi="Times New Roman" w:cs="Times New Roman"/>
          <w:color w:val="000000"/>
          <w:sz w:val="84"/>
          <w:szCs w:val="84"/>
          <w:highlight w:val="none"/>
          <w:shd w:val="clear" w:color="auto" w:fill="auto"/>
        </w:rPr>
      </w:pPr>
      <w:r>
        <w:rPr>
          <w:rFonts w:ascii="Times New Roman" w:hAnsi="Times New Roman" w:cs="Times New Roman"/>
          <w:color w:val="000000"/>
          <w:sz w:val="84"/>
          <w:szCs w:val="84"/>
          <w:highlight w:val="none"/>
          <w:shd w:val="clear" w:color="auto" w:fill="auto"/>
        </w:rPr>
        <w:t>招标文件</w:t>
      </w: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jc w:val="center"/>
        <w:rPr>
          <w:rFonts w:ascii="Times New Roman" w:hAnsi="Times New Roman" w:cs="Times New Roman"/>
          <w:color w:val="000000"/>
          <w:highlight w:val="none"/>
          <w:shd w:val="clear" w:color="auto" w:fill="auto"/>
        </w:rPr>
      </w:pPr>
      <w:r>
        <w:rPr>
          <w:rFonts w:ascii="Times New Roman" w:hAnsi="Times New Roman" w:cs="Times New Roman"/>
          <w:color w:val="000000"/>
          <w:sz w:val="24"/>
          <w:highlight w:val="none"/>
          <w:shd w:val="clear" w:color="auto" w:fill="auto"/>
        </w:rPr>
        <w:t>（20</w:t>
      </w:r>
      <w:r>
        <w:rPr>
          <w:rFonts w:hint="eastAsia" w:ascii="Times New Roman" w:hAnsi="Times New Roman" w:cs="Times New Roman"/>
          <w:color w:val="000000"/>
          <w:sz w:val="24"/>
          <w:highlight w:val="none"/>
          <w:shd w:val="clear" w:color="auto" w:fill="auto"/>
        </w:rPr>
        <w:t>20</w:t>
      </w:r>
      <w:r>
        <w:rPr>
          <w:rFonts w:ascii="Times New Roman" w:hAnsi="Times New Roman" w:cs="Times New Roman"/>
          <w:color w:val="000000"/>
          <w:sz w:val="24"/>
          <w:highlight w:val="none"/>
          <w:shd w:val="clear" w:color="auto" w:fill="auto"/>
        </w:rPr>
        <w:t>年修订版）</w:t>
      </w: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p>
      <w:pPr>
        <w:spacing w:before="0" w:after="0" w:line="400" w:lineRule="exact"/>
        <w:rPr>
          <w:rFonts w:ascii="Times New Roman" w:hAnsi="Times New Roman" w:cs="Times New Roman"/>
          <w:color w:val="000000"/>
          <w:highlight w:val="none"/>
          <w:shd w:val="clear" w:color="auto" w:fill="auto"/>
        </w:rPr>
      </w:pPr>
    </w:p>
    <w:tbl>
      <w:tblPr>
        <w:tblStyle w:val="42"/>
        <w:tblW w:w="8233" w:type="dxa"/>
        <w:jc w:val="center"/>
        <w:tblLayout w:type="autofit"/>
        <w:tblCellMar>
          <w:top w:w="0" w:type="dxa"/>
          <w:left w:w="108" w:type="dxa"/>
          <w:bottom w:w="0" w:type="dxa"/>
          <w:right w:w="108" w:type="dxa"/>
        </w:tblCellMar>
      </w:tblPr>
      <w:tblGrid>
        <w:gridCol w:w="2835"/>
        <w:gridCol w:w="5398"/>
      </w:tblGrid>
      <w:tr>
        <w:tblPrEx>
          <w:tblCellMar>
            <w:top w:w="0" w:type="dxa"/>
            <w:left w:w="108" w:type="dxa"/>
            <w:bottom w:w="0" w:type="dxa"/>
            <w:right w:w="108" w:type="dxa"/>
          </w:tblCellMar>
        </w:tblPrEx>
        <w:trPr>
          <w:trHeight w:val="737" w:hRule="exact"/>
          <w:jc w:val="center"/>
        </w:trPr>
        <w:tc>
          <w:tcPr>
            <w:tcW w:w="2835" w:type="dxa"/>
          </w:tcPr>
          <w:p>
            <w:pPr>
              <w:spacing w:after="156" w:line="360" w:lineRule="auto"/>
              <w:jc w:val="distribute"/>
              <w:rPr>
                <w:rFonts w:ascii="Times New Roman" w:hAnsi="Times New Roman" w:cs="Times New Roman"/>
                <w:b/>
                <w:bCs/>
                <w:sz w:val="29"/>
                <w:szCs w:val="29"/>
                <w:highlight w:val="none"/>
                <w:shd w:val="clear" w:color="auto" w:fill="auto"/>
              </w:rPr>
            </w:pPr>
            <w:r>
              <w:rPr>
                <w:rFonts w:ascii="Times New Roman" w:hAnsi="Times New Roman" w:cs="Times New Roman"/>
                <w:b/>
                <w:bCs/>
                <w:sz w:val="32"/>
                <w:szCs w:val="32"/>
                <w:highlight w:val="none"/>
                <w:shd w:val="clear" w:color="auto" w:fill="auto"/>
              </w:rPr>
              <w:t>招标人：</w:t>
            </w:r>
          </w:p>
        </w:tc>
        <w:tc>
          <w:tcPr>
            <w:tcW w:w="5398" w:type="dxa"/>
          </w:tcPr>
          <w:p>
            <w:pPr>
              <w:spacing w:after="156" w:line="360" w:lineRule="auto"/>
              <w:jc w:val="distribute"/>
              <w:rPr>
                <w:rFonts w:ascii="Times New Roman" w:hAnsi="Times New Roman" w:cs="Times New Roman"/>
                <w:b/>
                <w:bCs/>
                <w:sz w:val="29"/>
                <w:szCs w:val="29"/>
                <w:highlight w:val="none"/>
                <w:shd w:val="clear" w:color="auto" w:fill="auto"/>
              </w:rPr>
            </w:pPr>
            <w:r>
              <w:rPr>
                <w:rFonts w:hint="eastAsia" w:ascii="仿宋_GB2312" w:hAnsi="Arial" w:eastAsia="仿宋_GB2312" w:cs="Arial"/>
                <w:b/>
                <w:bCs/>
                <w:sz w:val="29"/>
                <w:szCs w:val="29"/>
                <w:highlight w:val="none"/>
                <w:shd w:val="clear" w:color="auto" w:fill="auto"/>
              </w:rPr>
              <w:t>青岛国信财富发展中心建设有限公司</w:t>
            </w:r>
          </w:p>
        </w:tc>
      </w:tr>
      <w:tr>
        <w:tblPrEx>
          <w:tblCellMar>
            <w:top w:w="0" w:type="dxa"/>
            <w:left w:w="108" w:type="dxa"/>
            <w:bottom w:w="0" w:type="dxa"/>
            <w:right w:w="108" w:type="dxa"/>
          </w:tblCellMar>
        </w:tblPrEx>
        <w:trPr>
          <w:trHeight w:val="737" w:hRule="exact"/>
          <w:jc w:val="center"/>
        </w:trPr>
        <w:tc>
          <w:tcPr>
            <w:tcW w:w="2835" w:type="dxa"/>
          </w:tcPr>
          <w:p>
            <w:pPr>
              <w:spacing w:after="156" w:line="360" w:lineRule="auto"/>
              <w:jc w:val="distribute"/>
              <w:rPr>
                <w:rFonts w:ascii="Times New Roman" w:hAnsi="Times New Roman" w:cs="Times New Roman"/>
                <w:b/>
                <w:bCs/>
                <w:sz w:val="29"/>
                <w:szCs w:val="29"/>
                <w:highlight w:val="none"/>
                <w:shd w:val="clear" w:color="auto" w:fill="auto"/>
              </w:rPr>
            </w:pPr>
            <w:r>
              <w:rPr>
                <w:rFonts w:ascii="Times New Roman" w:hAnsi="Times New Roman" w:cs="Times New Roman"/>
                <w:b/>
                <w:bCs/>
                <w:sz w:val="32"/>
                <w:szCs w:val="32"/>
                <w:highlight w:val="none"/>
                <w:shd w:val="clear" w:color="auto" w:fill="auto"/>
              </w:rPr>
              <w:t>招标代理机构：</w:t>
            </w:r>
          </w:p>
        </w:tc>
        <w:tc>
          <w:tcPr>
            <w:tcW w:w="5398" w:type="dxa"/>
          </w:tcPr>
          <w:p>
            <w:pPr>
              <w:spacing w:after="156" w:line="360" w:lineRule="auto"/>
              <w:jc w:val="distribute"/>
              <w:rPr>
                <w:rFonts w:ascii="Times New Roman" w:hAnsi="Times New Roman" w:cs="Times New Roman"/>
                <w:b/>
                <w:bCs/>
                <w:sz w:val="29"/>
                <w:szCs w:val="29"/>
                <w:highlight w:val="none"/>
                <w:shd w:val="clear" w:color="auto" w:fill="auto"/>
              </w:rPr>
            </w:pPr>
            <w:r>
              <w:rPr>
                <w:rFonts w:hint="eastAsia" w:ascii="Times New Roman" w:hAnsi="Times New Roman"/>
                <w:b/>
                <w:bCs/>
                <w:sz w:val="29"/>
                <w:szCs w:val="29"/>
                <w:highlight w:val="none"/>
                <w:shd w:val="clear" w:color="auto" w:fill="auto"/>
              </w:rPr>
              <w:t>山东世元工程</w:t>
            </w:r>
            <w:r>
              <w:rPr>
                <w:rFonts w:hint="eastAsia" w:ascii="宋体" w:hAnsi="宋体"/>
                <w:b/>
                <w:sz w:val="29"/>
                <w:szCs w:val="29"/>
                <w:highlight w:val="none"/>
                <w:shd w:val="clear" w:color="auto" w:fill="auto"/>
              </w:rPr>
              <w:t>管理</w:t>
            </w:r>
            <w:r>
              <w:rPr>
                <w:rFonts w:hint="eastAsia" w:ascii="Times New Roman" w:hAnsi="Times New Roman"/>
                <w:b/>
                <w:bCs/>
                <w:sz w:val="29"/>
                <w:szCs w:val="29"/>
                <w:highlight w:val="none"/>
                <w:shd w:val="clear" w:color="auto" w:fill="auto"/>
              </w:rPr>
              <w:t>有限公司</w:t>
            </w:r>
          </w:p>
        </w:tc>
      </w:tr>
    </w:tbl>
    <w:p>
      <w:pPr>
        <w:widowControl/>
        <w:tabs>
          <w:tab w:val="left" w:pos="420"/>
          <w:tab w:val="left" w:pos="1155"/>
        </w:tabs>
        <w:autoSpaceDE w:val="0"/>
        <w:autoSpaceDN w:val="0"/>
        <w:spacing w:beforeLines="50" w:afterLines="50"/>
        <w:jc w:val="center"/>
        <w:textAlignment w:val="bottom"/>
        <w:rPr>
          <w:rFonts w:ascii="Times New Roman" w:hAnsi="Times New Roman" w:cs="Times New Roman"/>
          <w:color w:val="FFFFFF" w:themeColor="background1"/>
          <w:sz w:val="28"/>
          <w:highlight w:val="none"/>
          <w:shd w:val="clear" w:color="auto" w:fill="auto"/>
        </w:rPr>
      </w:pPr>
      <w:r>
        <w:rPr>
          <w:rFonts w:ascii="Times New Roman" w:hAnsi="Times New Roman" w:cs="Times New Roman"/>
          <w:b/>
          <w:bCs/>
          <w:color w:val="FFFFFF" w:themeColor="background1"/>
          <w:sz w:val="32"/>
          <w:szCs w:val="32"/>
          <w:highlight w:val="none"/>
          <w:shd w:val="clear" w:color="auto" w:fill="auto"/>
        </w:rPr>
        <w:t>招标机构签章位置</w:t>
      </w:r>
    </w:p>
    <w:p>
      <w:pPr>
        <w:spacing w:before="0" w:after="0"/>
        <w:jc w:val="center"/>
        <w:rPr>
          <w:rFonts w:ascii="Times New Roman" w:hAnsi="Times New Roman" w:cs="Times New Roman"/>
          <w:color w:val="000000"/>
          <w:sz w:val="28"/>
          <w:highlight w:val="none"/>
          <w:shd w:val="clear" w:color="auto" w:fill="auto"/>
        </w:rPr>
      </w:pPr>
    </w:p>
    <w:p>
      <w:pPr>
        <w:spacing w:before="0" w:after="0"/>
        <w:jc w:val="center"/>
        <w:rPr>
          <w:rFonts w:ascii="Times New Roman" w:hAnsi="Times New Roman" w:cs="Times New Roman"/>
          <w:color w:val="000000"/>
          <w:sz w:val="28"/>
          <w:highlight w:val="none"/>
          <w:shd w:val="clear" w:color="auto" w:fill="auto"/>
        </w:rPr>
        <w:sectPr>
          <w:headerReference r:id="rId3" w:type="default"/>
          <w:pgSz w:w="11907" w:h="16840"/>
          <w:pgMar w:top="1418" w:right="1418" w:bottom="1418" w:left="1418" w:header="851" w:footer="992" w:gutter="0"/>
          <w:pgNumType w:fmt="lowerRoman" w:start="1"/>
          <w:cols w:space="425" w:num="1"/>
          <w:docGrid w:linePitch="312" w:charSpace="0"/>
        </w:sectPr>
      </w:pPr>
      <w:r>
        <w:rPr>
          <w:rFonts w:ascii="Times New Roman" w:hAnsi="Times New Roman" w:cs="Times New Roman"/>
          <w:color w:val="000000"/>
          <w:sz w:val="28"/>
          <w:highlight w:val="none"/>
          <w:shd w:val="clear" w:color="auto" w:fill="auto"/>
        </w:rPr>
        <w:t>二〇二</w:t>
      </w:r>
      <w:r>
        <w:rPr>
          <w:rFonts w:hint="eastAsia" w:ascii="Times New Roman" w:hAnsi="Times New Roman" w:cs="Times New Roman"/>
          <w:color w:val="000000"/>
          <w:sz w:val="28"/>
          <w:highlight w:val="none"/>
          <w:shd w:val="clear" w:color="auto" w:fill="auto"/>
        </w:rPr>
        <w:t>一</w:t>
      </w:r>
      <w:r>
        <w:rPr>
          <w:rFonts w:ascii="Times New Roman" w:hAnsi="Times New Roman" w:cs="Times New Roman"/>
          <w:color w:val="000000"/>
          <w:sz w:val="28"/>
          <w:highlight w:val="none"/>
          <w:shd w:val="clear" w:color="auto" w:fill="auto"/>
        </w:rPr>
        <w:t>年</w:t>
      </w:r>
      <w:r>
        <w:rPr>
          <w:rFonts w:hint="eastAsia" w:ascii="Times New Roman" w:hAnsi="Times New Roman" w:cs="Times New Roman"/>
          <w:color w:val="000000"/>
          <w:sz w:val="28"/>
          <w:highlight w:val="none"/>
          <w:shd w:val="clear" w:color="auto" w:fill="auto"/>
        </w:rPr>
        <w:t>一</w:t>
      </w:r>
      <w:r>
        <w:rPr>
          <w:rFonts w:ascii="Times New Roman" w:hAnsi="Times New Roman" w:cs="Times New Roman"/>
          <w:color w:val="000000"/>
          <w:sz w:val="28"/>
          <w:highlight w:val="none"/>
          <w:shd w:val="clear" w:color="auto" w:fill="auto"/>
        </w:rPr>
        <w:t>月</w:t>
      </w:r>
      <w:bookmarkStart w:id="0" w:name="_Toc527554768"/>
      <w:bookmarkStart w:id="1" w:name="_Toc532285448"/>
      <w:bookmarkStart w:id="2" w:name="_Toc525974471"/>
      <w:bookmarkStart w:id="3" w:name="_Toc513568024"/>
      <w:bookmarkStart w:id="4" w:name="_Toc513568684"/>
      <w:bookmarkStart w:id="5" w:name="_Toc526076332"/>
    </w:p>
    <w:p>
      <w:pPr>
        <w:spacing w:before="0" w:after="0" w:line="360" w:lineRule="auto"/>
        <w:jc w:val="center"/>
        <w:rPr>
          <w:rFonts w:ascii="Times New Roman" w:hAnsi="Times New Roman" w:eastAsia="黑体" w:cs="Times New Roman"/>
          <w:sz w:val="32"/>
          <w:szCs w:val="32"/>
          <w:highlight w:val="none"/>
          <w:shd w:val="clear" w:color="auto" w:fill="auto"/>
          <w:lang w:val="zh-CN"/>
        </w:rPr>
      </w:pPr>
      <w:r>
        <w:rPr>
          <w:rFonts w:ascii="Times New Roman" w:hAnsi="Times New Roman" w:eastAsia="黑体" w:cs="Times New Roman"/>
          <w:sz w:val="32"/>
          <w:szCs w:val="32"/>
          <w:highlight w:val="none"/>
          <w:shd w:val="clear" w:color="auto" w:fill="auto"/>
          <w:lang w:val="zh-CN"/>
        </w:rPr>
        <w:t>目  录</w:t>
      </w:r>
      <w:bookmarkEnd w:id="0"/>
      <w:bookmarkEnd w:id="1"/>
      <w:bookmarkEnd w:id="2"/>
      <w:bookmarkEnd w:id="3"/>
      <w:bookmarkEnd w:id="4"/>
      <w:bookmarkEnd w:id="5"/>
      <w:bookmarkStart w:id="6" w:name="_Toc499646486"/>
    </w:p>
    <w:p>
      <w:pPr>
        <w:pStyle w:val="28"/>
        <w:spacing w:line="360" w:lineRule="auto"/>
        <w:rPr>
          <w:rFonts w:ascii="仿宋_GB2312" w:eastAsia="仿宋_GB2312"/>
          <w:b w:val="0"/>
          <w:bCs w:val="0"/>
          <w:caps w:val="0"/>
          <w:sz w:val="21"/>
          <w:szCs w:val="21"/>
          <w:highlight w:val="none"/>
          <w:shd w:val="clear" w:color="auto" w:fill="auto"/>
        </w:rPr>
      </w:pPr>
      <w:r>
        <w:rPr>
          <w:rFonts w:ascii="Times New Roman" w:hAnsi="Times New Roman" w:eastAsia="宋体" w:cs="Times New Roman"/>
          <w:b w:val="0"/>
          <w:sz w:val="21"/>
          <w:szCs w:val="32"/>
          <w:highlight w:val="none"/>
          <w:shd w:val="clear" w:color="auto" w:fill="auto"/>
          <w:lang w:val="zh-CN"/>
        </w:rPr>
        <w:fldChar w:fldCharType="begin"/>
      </w:r>
      <w:r>
        <w:rPr>
          <w:rFonts w:ascii="Times New Roman" w:hAnsi="Times New Roman" w:eastAsia="宋体" w:cs="Times New Roman"/>
          <w:b w:val="0"/>
          <w:sz w:val="21"/>
          <w:szCs w:val="32"/>
          <w:highlight w:val="none"/>
          <w:shd w:val="clear" w:color="auto" w:fill="auto"/>
          <w:lang w:val="zh-CN"/>
        </w:rPr>
        <w:instrText xml:space="preserve"> TOC \o "1-2" \h \z \u </w:instrText>
      </w:r>
      <w:r>
        <w:rPr>
          <w:rFonts w:ascii="Times New Roman" w:hAnsi="Times New Roman" w:eastAsia="宋体" w:cs="Times New Roman"/>
          <w:b w:val="0"/>
          <w:sz w:val="21"/>
          <w:szCs w:val="32"/>
          <w:highlight w:val="none"/>
          <w:shd w:val="clear" w:color="auto" w:fill="auto"/>
          <w:lang w:val="zh-CN"/>
        </w:rPr>
        <w:fldChar w:fldCharType="separate"/>
      </w:r>
      <w:r>
        <w:rPr>
          <w:highlight w:val="none"/>
          <w:shd w:val="clear" w:color="auto" w:fill="auto"/>
        </w:rPr>
        <w:fldChar w:fldCharType="begin"/>
      </w:r>
      <w:r>
        <w:rPr>
          <w:highlight w:val="none"/>
          <w:shd w:val="clear" w:color="auto" w:fill="auto"/>
        </w:rPr>
        <w:instrText xml:space="preserve"> HYPERLINK \l "_Toc60646622" </w:instrText>
      </w:r>
      <w:r>
        <w:rPr>
          <w:highlight w:val="none"/>
          <w:shd w:val="clear" w:color="auto" w:fill="auto"/>
        </w:rPr>
        <w:fldChar w:fldCharType="separate"/>
      </w:r>
      <w:r>
        <w:rPr>
          <w:rStyle w:val="48"/>
          <w:rFonts w:hint="eastAsia" w:ascii="仿宋_GB2312" w:hAnsi="Times New Roman" w:eastAsia="仿宋_GB2312" w:cs="Times New Roman"/>
          <w:b w:val="0"/>
          <w:sz w:val="21"/>
          <w:szCs w:val="21"/>
          <w:highlight w:val="none"/>
          <w:shd w:val="clear" w:color="auto" w:fill="auto"/>
        </w:rPr>
        <w:t>第一章 招标公告</w:t>
      </w:r>
      <w:r>
        <w:rPr>
          <w:rFonts w:hint="eastAsia" w:ascii="仿宋_GB2312" w:eastAsia="仿宋_GB2312"/>
          <w:b w:val="0"/>
          <w:sz w:val="21"/>
          <w:szCs w:val="21"/>
          <w:highlight w:val="none"/>
          <w:shd w:val="clear" w:color="auto" w:fill="auto"/>
        </w:rPr>
        <w:tab/>
      </w:r>
      <w:r>
        <w:rPr>
          <w:rFonts w:hint="eastAsia" w:ascii="仿宋_GB2312" w:eastAsia="仿宋_GB2312"/>
          <w:b w:val="0"/>
          <w:sz w:val="21"/>
          <w:szCs w:val="21"/>
          <w:highlight w:val="none"/>
          <w:shd w:val="clear" w:color="auto" w:fill="auto"/>
        </w:rPr>
        <w:fldChar w:fldCharType="begin"/>
      </w:r>
      <w:r>
        <w:rPr>
          <w:rFonts w:hint="eastAsia" w:ascii="仿宋_GB2312" w:eastAsia="仿宋_GB2312"/>
          <w:b w:val="0"/>
          <w:sz w:val="21"/>
          <w:szCs w:val="21"/>
          <w:highlight w:val="none"/>
          <w:shd w:val="clear" w:color="auto" w:fill="auto"/>
        </w:rPr>
        <w:instrText xml:space="preserve"> PAGEREF _Toc60646622 \h </w:instrText>
      </w:r>
      <w:r>
        <w:rPr>
          <w:rFonts w:hint="eastAsia" w:ascii="仿宋_GB2312" w:eastAsia="仿宋_GB2312"/>
          <w:b w:val="0"/>
          <w:sz w:val="21"/>
          <w:szCs w:val="21"/>
          <w:highlight w:val="none"/>
          <w:shd w:val="clear" w:color="auto" w:fill="auto"/>
        </w:rPr>
        <w:fldChar w:fldCharType="separate"/>
      </w:r>
      <w:r>
        <w:rPr>
          <w:rFonts w:ascii="仿宋_GB2312" w:eastAsia="仿宋_GB2312"/>
          <w:b w:val="0"/>
          <w:sz w:val="21"/>
          <w:szCs w:val="21"/>
          <w:highlight w:val="none"/>
          <w:shd w:val="clear" w:color="auto" w:fill="auto"/>
        </w:rPr>
        <w:t>1</w:t>
      </w:r>
      <w:r>
        <w:rPr>
          <w:rFonts w:hint="eastAsia" w:ascii="仿宋_GB2312" w:eastAsia="仿宋_GB2312"/>
          <w:b w:val="0"/>
          <w:sz w:val="21"/>
          <w:szCs w:val="21"/>
          <w:highlight w:val="none"/>
          <w:shd w:val="clear" w:color="auto" w:fill="auto"/>
        </w:rPr>
        <w:fldChar w:fldCharType="end"/>
      </w:r>
      <w:r>
        <w:rPr>
          <w:rFonts w:hint="eastAsia" w:ascii="仿宋_GB2312" w:eastAsia="仿宋_GB2312"/>
          <w:b w:val="0"/>
          <w:sz w:val="21"/>
          <w:szCs w:val="21"/>
          <w:highlight w:val="none"/>
          <w:shd w:val="clear" w:color="auto" w:fill="auto"/>
        </w:rPr>
        <w:fldChar w:fldCharType="end"/>
      </w:r>
    </w:p>
    <w:p>
      <w:pPr>
        <w:pStyle w:val="28"/>
        <w:spacing w:line="360" w:lineRule="auto"/>
        <w:rPr>
          <w:rFonts w:ascii="仿宋_GB2312" w:eastAsia="仿宋_GB2312"/>
          <w:b w:val="0"/>
          <w:bCs w:val="0"/>
          <w: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"_Toc60646631" </w:instrText>
      </w:r>
      <w:r>
        <w:rPr>
          <w:highlight w:val="none"/>
          <w:shd w:val="clear" w:color="auto" w:fill="auto"/>
        </w:rPr>
        <w:fldChar w:fldCharType="separate"/>
      </w:r>
      <w:r>
        <w:rPr>
          <w:rStyle w:val="48"/>
          <w:rFonts w:hint="eastAsia" w:ascii="仿宋_GB2312" w:hAnsi="Times New Roman" w:eastAsia="仿宋_GB2312" w:cs="Times New Roman"/>
          <w:b w:val="0"/>
          <w:sz w:val="21"/>
          <w:szCs w:val="21"/>
          <w:highlight w:val="none"/>
          <w:shd w:val="clear" w:color="auto" w:fill="auto"/>
        </w:rPr>
        <w:t>第二章 投标人须知及前附表</w:t>
      </w:r>
      <w:r>
        <w:rPr>
          <w:rFonts w:hint="eastAsia" w:ascii="仿宋_GB2312" w:eastAsia="仿宋_GB2312"/>
          <w:b w:val="0"/>
          <w:sz w:val="21"/>
          <w:szCs w:val="21"/>
          <w:highlight w:val="none"/>
          <w:shd w:val="clear" w:color="auto" w:fill="auto"/>
        </w:rPr>
        <w:tab/>
      </w:r>
      <w:r>
        <w:rPr>
          <w:rFonts w:hint="eastAsia" w:ascii="仿宋_GB2312" w:eastAsia="仿宋_GB2312"/>
          <w:b w:val="0"/>
          <w:sz w:val="21"/>
          <w:szCs w:val="21"/>
          <w:highlight w:val="none"/>
          <w:shd w:val="clear" w:color="auto" w:fill="auto"/>
        </w:rPr>
        <w:fldChar w:fldCharType="begin"/>
      </w:r>
      <w:r>
        <w:rPr>
          <w:rFonts w:hint="eastAsia" w:ascii="仿宋_GB2312" w:eastAsia="仿宋_GB2312"/>
          <w:b w:val="0"/>
          <w:sz w:val="21"/>
          <w:szCs w:val="21"/>
          <w:highlight w:val="none"/>
          <w:shd w:val="clear" w:color="auto" w:fill="auto"/>
        </w:rPr>
        <w:instrText xml:space="preserve"> PAGEREF _Toc60646631 \h </w:instrText>
      </w:r>
      <w:r>
        <w:rPr>
          <w:rFonts w:hint="eastAsia" w:ascii="仿宋_GB2312" w:eastAsia="仿宋_GB2312"/>
          <w:b w:val="0"/>
          <w:sz w:val="21"/>
          <w:szCs w:val="21"/>
          <w:highlight w:val="none"/>
          <w:shd w:val="clear" w:color="auto" w:fill="auto"/>
        </w:rPr>
        <w:fldChar w:fldCharType="separate"/>
      </w:r>
      <w:r>
        <w:rPr>
          <w:rFonts w:ascii="仿宋_GB2312" w:eastAsia="仿宋_GB2312"/>
          <w:b w:val="0"/>
          <w:sz w:val="21"/>
          <w:szCs w:val="21"/>
          <w:highlight w:val="none"/>
          <w:shd w:val="clear" w:color="auto" w:fill="auto"/>
        </w:rPr>
        <w:t>6</w:t>
      </w:r>
      <w:r>
        <w:rPr>
          <w:rFonts w:hint="eastAsia" w:ascii="仿宋_GB2312" w:eastAsia="仿宋_GB2312"/>
          <w:b w:val="0"/>
          <w:sz w:val="21"/>
          <w:szCs w:val="21"/>
          <w:highlight w:val="none"/>
          <w:shd w:val="clear" w:color="auto" w:fill="auto"/>
        </w:rPr>
        <w:fldChar w:fldCharType="end"/>
      </w:r>
      <w:r>
        <w:rPr>
          <w:rFonts w:hint="eastAsia" w:ascii="仿宋_GB2312" w:eastAsia="仿宋_GB2312"/>
          <w:b w:val="0"/>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"_Toc60646632" </w:instrText>
      </w:r>
      <w:r>
        <w:rPr>
          <w:highlight w:val="none"/>
          <w:shd w:val="clear" w:color="auto" w:fill="auto"/>
        </w:rPr>
        <w:fldChar w:fldCharType="separate"/>
      </w:r>
      <w:r>
        <w:rPr>
          <w:rStyle w:val="48"/>
          <w:rFonts w:hint="eastAsia" w:ascii="仿宋_GB2312" w:hAnsi="Times New Roman" w:eastAsia="仿宋_GB2312"/>
          <w:spacing w:val="1"/>
          <w:sz w:val="21"/>
          <w:szCs w:val="21"/>
          <w:highlight w:val="none"/>
          <w:shd w:val="clear" w:color="auto" w:fill="auto"/>
        </w:rPr>
        <w:t>投标人须知前附表</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_Toc60646632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7</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"_Toc60646633"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1.总则</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_Toc60646633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12</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"_Toc60646634"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2.招标文件</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_Toc60646634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15</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"_Toc60646635"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3.投标文件</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_Toc60646635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16</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"_Toc60646636"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4.投标</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_Toc60646636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19</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"_Toc60646637"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5.开标</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_Toc60646637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20</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"_Toc60646638"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6.评标</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_Toc60646638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21</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"_Toc60646639"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7.合同授予</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_Toc60646639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22</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"_Toc60646640"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8.纪律和监督</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_Toc60646640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23</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"_Toc60646641"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9.是否采用电子招标投标</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_Toc60646641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24</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34"/>
        <w:spacing w:line="360" w:lineRule="auto"/>
        <w:rPr>
          <w:rFonts w:ascii="仿宋_GB2312" w:eastAsia="仿宋_GB2312"/>
          <w:small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"_Toc60646642" </w:instrText>
      </w:r>
      <w:r>
        <w:rPr>
          <w:highlight w:val="none"/>
          <w:shd w:val="clear" w:color="auto" w:fill="auto"/>
        </w:rPr>
        <w:fldChar w:fldCharType="separate"/>
      </w:r>
      <w:r>
        <w:rPr>
          <w:rStyle w:val="48"/>
          <w:rFonts w:hint="eastAsia" w:ascii="仿宋_GB2312" w:hAnsi="Times New Roman" w:eastAsia="仿宋_GB2312" w:cs="Times New Roman"/>
          <w:sz w:val="21"/>
          <w:szCs w:val="21"/>
          <w:highlight w:val="none"/>
          <w:shd w:val="clear" w:color="auto" w:fill="auto"/>
        </w:rPr>
        <w:t>10.需要补充的其他内容</w:t>
      </w:r>
      <w:r>
        <w:rPr>
          <w:rFonts w:hint="eastAsia" w:ascii="仿宋_GB2312" w:eastAsia="仿宋_GB2312"/>
          <w:sz w:val="21"/>
          <w:szCs w:val="21"/>
          <w:highlight w:val="none"/>
          <w:shd w:val="clear" w:color="auto" w:fill="auto"/>
        </w:rPr>
        <w:tab/>
      </w:r>
      <w:r>
        <w:rPr>
          <w:rFonts w:hint="eastAsia" w:ascii="仿宋_GB2312" w:eastAsia="仿宋_GB2312"/>
          <w:sz w:val="21"/>
          <w:szCs w:val="21"/>
          <w:highlight w:val="none"/>
          <w:shd w:val="clear" w:color="auto" w:fill="auto"/>
        </w:rPr>
        <w:fldChar w:fldCharType="begin"/>
      </w:r>
      <w:r>
        <w:rPr>
          <w:rFonts w:hint="eastAsia" w:ascii="仿宋_GB2312" w:eastAsia="仿宋_GB2312"/>
          <w:sz w:val="21"/>
          <w:szCs w:val="21"/>
          <w:highlight w:val="none"/>
          <w:shd w:val="clear" w:color="auto" w:fill="auto"/>
        </w:rPr>
        <w:instrText xml:space="preserve"> PAGEREF _Toc60646642 \h </w:instrText>
      </w:r>
      <w:r>
        <w:rPr>
          <w:rFonts w:hint="eastAsia" w:ascii="仿宋_GB2312" w:eastAsia="仿宋_GB2312"/>
          <w:sz w:val="21"/>
          <w:szCs w:val="21"/>
          <w:highlight w:val="none"/>
          <w:shd w:val="clear" w:color="auto" w:fill="auto"/>
        </w:rPr>
        <w:fldChar w:fldCharType="separate"/>
      </w:r>
      <w:r>
        <w:rPr>
          <w:rFonts w:ascii="仿宋_GB2312" w:eastAsia="仿宋_GB2312"/>
          <w:sz w:val="21"/>
          <w:szCs w:val="21"/>
          <w:highlight w:val="none"/>
          <w:shd w:val="clear" w:color="auto" w:fill="auto"/>
        </w:rPr>
        <w:t>24</w:t>
      </w:r>
      <w:r>
        <w:rPr>
          <w:rFonts w:hint="eastAsia" w:ascii="仿宋_GB2312" w:eastAsia="仿宋_GB2312"/>
          <w:sz w:val="21"/>
          <w:szCs w:val="21"/>
          <w:highlight w:val="none"/>
          <w:shd w:val="clear" w:color="auto" w:fill="auto"/>
        </w:rPr>
        <w:fldChar w:fldCharType="end"/>
      </w:r>
      <w:r>
        <w:rPr>
          <w:rFonts w:hint="eastAsia" w:ascii="仿宋_GB2312" w:eastAsia="仿宋_GB2312"/>
          <w:sz w:val="21"/>
          <w:szCs w:val="21"/>
          <w:highlight w:val="none"/>
          <w:shd w:val="clear" w:color="auto" w:fill="auto"/>
        </w:rPr>
        <w:fldChar w:fldCharType="end"/>
      </w:r>
    </w:p>
    <w:p>
      <w:pPr>
        <w:pStyle w:val="28"/>
        <w:spacing w:line="360" w:lineRule="auto"/>
        <w:rPr>
          <w:rFonts w:ascii="仿宋_GB2312" w:eastAsia="仿宋_GB2312"/>
          <w:b w:val="0"/>
          <w:bCs w:val="0"/>
          <w: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"_Toc60646643" </w:instrText>
      </w:r>
      <w:r>
        <w:rPr>
          <w:highlight w:val="none"/>
          <w:shd w:val="clear" w:color="auto" w:fill="auto"/>
        </w:rPr>
        <w:fldChar w:fldCharType="separate"/>
      </w:r>
      <w:r>
        <w:rPr>
          <w:rStyle w:val="48"/>
          <w:rFonts w:hint="eastAsia" w:ascii="仿宋_GB2312" w:hAnsi="Times New Roman" w:eastAsia="仿宋_GB2312" w:cs="Times New Roman"/>
          <w:b w:val="0"/>
          <w:sz w:val="21"/>
          <w:szCs w:val="21"/>
          <w:highlight w:val="none"/>
          <w:shd w:val="clear" w:color="auto" w:fill="auto"/>
        </w:rPr>
        <w:t>第三章 评标办法</w:t>
      </w:r>
      <w:r>
        <w:rPr>
          <w:rFonts w:hint="eastAsia" w:ascii="仿宋_GB2312" w:eastAsia="仿宋_GB2312"/>
          <w:b w:val="0"/>
          <w:sz w:val="21"/>
          <w:szCs w:val="21"/>
          <w:highlight w:val="none"/>
          <w:shd w:val="clear" w:color="auto" w:fill="auto"/>
        </w:rPr>
        <w:tab/>
      </w:r>
      <w:r>
        <w:rPr>
          <w:rFonts w:hint="eastAsia" w:ascii="仿宋_GB2312" w:eastAsia="仿宋_GB2312"/>
          <w:b w:val="0"/>
          <w:sz w:val="21"/>
          <w:szCs w:val="21"/>
          <w:highlight w:val="none"/>
          <w:shd w:val="clear" w:color="auto" w:fill="auto"/>
        </w:rPr>
        <w:fldChar w:fldCharType="begin"/>
      </w:r>
      <w:r>
        <w:rPr>
          <w:rFonts w:hint="eastAsia" w:ascii="仿宋_GB2312" w:eastAsia="仿宋_GB2312"/>
          <w:b w:val="0"/>
          <w:sz w:val="21"/>
          <w:szCs w:val="21"/>
          <w:highlight w:val="none"/>
          <w:shd w:val="clear" w:color="auto" w:fill="auto"/>
        </w:rPr>
        <w:instrText xml:space="preserve"> PAGEREF _Toc60646643 \h </w:instrText>
      </w:r>
      <w:r>
        <w:rPr>
          <w:rFonts w:hint="eastAsia" w:ascii="仿宋_GB2312" w:eastAsia="仿宋_GB2312"/>
          <w:b w:val="0"/>
          <w:sz w:val="21"/>
          <w:szCs w:val="21"/>
          <w:highlight w:val="none"/>
          <w:shd w:val="clear" w:color="auto" w:fill="auto"/>
        </w:rPr>
        <w:fldChar w:fldCharType="separate"/>
      </w:r>
      <w:r>
        <w:rPr>
          <w:rFonts w:ascii="仿宋_GB2312" w:eastAsia="仿宋_GB2312"/>
          <w:b w:val="0"/>
          <w:sz w:val="21"/>
          <w:szCs w:val="21"/>
          <w:highlight w:val="none"/>
          <w:shd w:val="clear" w:color="auto" w:fill="auto"/>
        </w:rPr>
        <w:t>25</w:t>
      </w:r>
      <w:r>
        <w:rPr>
          <w:rFonts w:hint="eastAsia" w:ascii="仿宋_GB2312" w:eastAsia="仿宋_GB2312"/>
          <w:b w:val="0"/>
          <w:sz w:val="21"/>
          <w:szCs w:val="21"/>
          <w:highlight w:val="none"/>
          <w:shd w:val="clear" w:color="auto" w:fill="auto"/>
        </w:rPr>
        <w:fldChar w:fldCharType="end"/>
      </w:r>
      <w:r>
        <w:rPr>
          <w:rFonts w:hint="eastAsia" w:ascii="仿宋_GB2312" w:eastAsia="仿宋_GB2312"/>
          <w:b w:val="0"/>
          <w:sz w:val="21"/>
          <w:szCs w:val="21"/>
          <w:highlight w:val="none"/>
          <w:shd w:val="clear" w:color="auto" w:fill="auto"/>
        </w:rPr>
        <w:fldChar w:fldCharType="end"/>
      </w:r>
    </w:p>
    <w:p>
      <w:pPr>
        <w:pStyle w:val="28"/>
        <w:spacing w:line="360" w:lineRule="auto"/>
        <w:rPr>
          <w:rFonts w:ascii="仿宋_GB2312" w:eastAsia="仿宋_GB2312"/>
          <w:b w:val="0"/>
          <w:bCs w:val="0"/>
          <w: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"_Toc60646644" </w:instrText>
      </w:r>
      <w:r>
        <w:rPr>
          <w:highlight w:val="none"/>
          <w:shd w:val="clear" w:color="auto" w:fill="auto"/>
        </w:rPr>
        <w:fldChar w:fldCharType="separate"/>
      </w:r>
      <w:r>
        <w:rPr>
          <w:rStyle w:val="48"/>
          <w:rFonts w:hint="eastAsia" w:ascii="仿宋_GB2312" w:hAnsi="Times New Roman" w:eastAsia="仿宋_GB2312" w:cs="Times New Roman"/>
          <w:b w:val="0"/>
          <w:sz w:val="21"/>
          <w:szCs w:val="21"/>
          <w:highlight w:val="none"/>
          <w:shd w:val="clear" w:color="auto" w:fill="auto"/>
        </w:rPr>
        <w:t>第四章 合同条款及格式</w:t>
      </w:r>
      <w:r>
        <w:rPr>
          <w:rFonts w:hint="eastAsia" w:ascii="仿宋_GB2312" w:eastAsia="仿宋_GB2312"/>
          <w:b w:val="0"/>
          <w:sz w:val="21"/>
          <w:szCs w:val="21"/>
          <w:highlight w:val="none"/>
          <w:shd w:val="clear" w:color="auto" w:fill="auto"/>
        </w:rPr>
        <w:tab/>
      </w:r>
      <w:r>
        <w:rPr>
          <w:rFonts w:hint="eastAsia" w:ascii="仿宋_GB2312" w:eastAsia="仿宋_GB2312"/>
          <w:b w:val="0"/>
          <w:sz w:val="21"/>
          <w:szCs w:val="21"/>
          <w:highlight w:val="none"/>
          <w:shd w:val="clear" w:color="auto" w:fill="auto"/>
        </w:rPr>
        <w:fldChar w:fldCharType="begin"/>
      </w:r>
      <w:r>
        <w:rPr>
          <w:rFonts w:hint="eastAsia" w:ascii="仿宋_GB2312" w:eastAsia="仿宋_GB2312"/>
          <w:b w:val="0"/>
          <w:sz w:val="21"/>
          <w:szCs w:val="21"/>
          <w:highlight w:val="none"/>
          <w:shd w:val="clear" w:color="auto" w:fill="auto"/>
        </w:rPr>
        <w:instrText xml:space="preserve"> PAGEREF _Toc60646644 \h </w:instrText>
      </w:r>
      <w:r>
        <w:rPr>
          <w:rFonts w:hint="eastAsia" w:ascii="仿宋_GB2312" w:eastAsia="仿宋_GB2312"/>
          <w:b w:val="0"/>
          <w:sz w:val="21"/>
          <w:szCs w:val="21"/>
          <w:highlight w:val="none"/>
          <w:shd w:val="clear" w:color="auto" w:fill="auto"/>
        </w:rPr>
        <w:fldChar w:fldCharType="separate"/>
      </w:r>
      <w:r>
        <w:rPr>
          <w:rFonts w:ascii="仿宋_GB2312" w:eastAsia="仿宋_GB2312"/>
          <w:b w:val="0"/>
          <w:sz w:val="21"/>
          <w:szCs w:val="21"/>
          <w:highlight w:val="none"/>
          <w:shd w:val="clear" w:color="auto" w:fill="auto"/>
        </w:rPr>
        <w:t>30</w:t>
      </w:r>
      <w:r>
        <w:rPr>
          <w:rFonts w:hint="eastAsia" w:ascii="仿宋_GB2312" w:eastAsia="仿宋_GB2312"/>
          <w:b w:val="0"/>
          <w:sz w:val="21"/>
          <w:szCs w:val="21"/>
          <w:highlight w:val="none"/>
          <w:shd w:val="clear" w:color="auto" w:fill="auto"/>
        </w:rPr>
        <w:fldChar w:fldCharType="end"/>
      </w:r>
      <w:r>
        <w:rPr>
          <w:rFonts w:hint="eastAsia" w:ascii="仿宋_GB2312" w:eastAsia="仿宋_GB2312"/>
          <w:b w:val="0"/>
          <w:sz w:val="21"/>
          <w:szCs w:val="21"/>
          <w:highlight w:val="none"/>
          <w:shd w:val="clear" w:color="auto" w:fill="auto"/>
        </w:rPr>
        <w:fldChar w:fldCharType="end"/>
      </w:r>
    </w:p>
    <w:p>
      <w:pPr>
        <w:pStyle w:val="28"/>
        <w:spacing w:line="360" w:lineRule="auto"/>
        <w:rPr>
          <w:rFonts w:ascii="仿宋_GB2312" w:eastAsia="仿宋_GB2312"/>
          <w:b w:val="0"/>
          <w:bCs w:val="0"/>
          <w: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"_Toc60646655" </w:instrText>
      </w:r>
      <w:r>
        <w:rPr>
          <w:highlight w:val="none"/>
          <w:shd w:val="clear" w:color="auto" w:fill="auto"/>
        </w:rPr>
        <w:fldChar w:fldCharType="separate"/>
      </w:r>
      <w:r>
        <w:rPr>
          <w:rStyle w:val="48"/>
          <w:rFonts w:hint="eastAsia" w:ascii="仿宋_GB2312" w:hAnsi="Times New Roman" w:eastAsia="仿宋_GB2312" w:cs="Times New Roman"/>
          <w:b w:val="0"/>
          <w:sz w:val="21"/>
          <w:szCs w:val="21"/>
          <w:highlight w:val="none"/>
          <w:shd w:val="clear" w:color="auto" w:fill="auto"/>
        </w:rPr>
        <w:t>第五章 采购需求</w:t>
      </w:r>
      <w:r>
        <w:rPr>
          <w:rFonts w:hint="eastAsia" w:ascii="仿宋_GB2312" w:eastAsia="仿宋_GB2312"/>
          <w:b w:val="0"/>
          <w:sz w:val="21"/>
          <w:szCs w:val="21"/>
          <w:highlight w:val="none"/>
          <w:shd w:val="clear" w:color="auto" w:fill="auto"/>
        </w:rPr>
        <w:tab/>
      </w:r>
      <w:r>
        <w:rPr>
          <w:rFonts w:hint="eastAsia" w:ascii="仿宋_GB2312" w:eastAsia="仿宋_GB2312"/>
          <w:b w:val="0"/>
          <w:sz w:val="21"/>
          <w:szCs w:val="21"/>
          <w:highlight w:val="none"/>
          <w:shd w:val="clear" w:color="auto" w:fill="auto"/>
        </w:rPr>
        <w:fldChar w:fldCharType="begin"/>
      </w:r>
      <w:r>
        <w:rPr>
          <w:rFonts w:hint="eastAsia" w:ascii="仿宋_GB2312" w:eastAsia="仿宋_GB2312"/>
          <w:b w:val="0"/>
          <w:sz w:val="21"/>
          <w:szCs w:val="21"/>
          <w:highlight w:val="none"/>
          <w:shd w:val="clear" w:color="auto" w:fill="auto"/>
        </w:rPr>
        <w:instrText xml:space="preserve"> PAGEREF _Toc60646655 \h </w:instrText>
      </w:r>
      <w:r>
        <w:rPr>
          <w:rFonts w:hint="eastAsia" w:ascii="仿宋_GB2312" w:eastAsia="仿宋_GB2312"/>
          <w:b w:val="0"/>
          <w:sz w:val="21"/>
          <w:szCs w:val="21"/>
          <w:highlight w:val="none"/>
          <w:shd w:val="clear" w:color="auto" w:fill="auto"/>
        </w:rPr>
        <w:fldChar w:fldCharType="separate"/>
      </w:r>
      <w:r>
        <w:rPr>
          <w:rFonts w:ascii="仿宋_GB2312" w:eastAsia="仿宋_GB2312"/>
          <w:b w:val="0"/>
          <w:sz w:val="21"/>
          <w:szCs w:val="21"/>
          <w:highlight w:val="none"/>
          <w:shd w:val="clear" w:color="auto" w:fill="auto"/>
        </w:rPr>
        <w:t>38</w:t>
      </w:r>
      <w:r>
        <w:rPr>
          <w:rFonts w:hint="eastAsia" w:ascii="仿宋_GB2312" w:eastAsia="仿宋_GB2312"/>
          <w:b w:val="0"/>
          <w:sz w:val="21"/>
          <w:szCs w:val="21"/>
          <w:highlight w:val="none"/>
          <w:shd w:val="clear" w:color="auto" w:fill="auto"/>
        </w:rPr>
        <w:fldChar w:fldCharType="end"/>
      </w:r>
      <w:r>
        <w:rPr>
          <w:rFonts w:hint="eastAsia" w:ascii="仿宋_GB2312" w:eastAsia="仿宋_GB2312"/>
          <w:b w:val="0"/>
          <w:sz w:val="21"/>
          <w:szCs w:val="21"/>
          <w:highlight w:val="none"/>
          <w:shd w:val="clear" w:color="auto" w:fill="auto"/>
        </w:rPr>
        <w:fldChar w:fldCharType="end"/>
      </w:r>
    </w:p>
    <w:p>
      <w:pPr>
        <w:pStyle w:val="28"/>
        <w:spacing w:line="360" w:lineRule="auto"/>
        <w:rPr>
          <w:rFonts w:ascii="仿宋_GB2312" w:eastAsia="仿宋_GB2312"/>
          <w:b w:val="0"/>
          <w:bCs w:val="0"/>
          <w:caps w:val="0"/>
          <w:sz w:val="21"/>
          <w:szCs w:val="21"/>
          <w:highlight w:val="none"/>
          <w:shd w:val="clear" w:color="auto" w:fill="auto"/>
        </w:rPr>
      </w:pPr>
      <w:r>
        <w:rPr>
          <w:highlight w:val="none"/>
          <w:shd w:val="clear" w:color="auto" w:fill="auto"/>
        </w:rPr>
        <w:fldChar w:fldCharType="begin"/>
      </w:r>
      <w:r>
        <w:rPr>
          <w:highlight w:val="none"/>
          <w:shd w:val="clear" w:color="auto" w:fill="auto"/>
        </w:rPr>
        <w:instrText xml:space="preserve"> HYPERLINK \l "_Toc60646656" </w:instrText>
      </w:r>
      <w:r>
        <w:rPr>
          <w:highlight w:val="none"/>
          <w:shd w:val="clear" w:color="auto" w:fill="auto"/>
        </w:rPr>
        <w:fldChar w:fldCharType="separate"/>
      </w:r>
      <w:r>
        <w:rPr>
          <w:rStyle w:val="48"/>
          <w:rFonts w:hint="eastAsia" w:ascii="仿宋_GB2312" w:hAnsi="Times New Roman" w:eastAsia="仿宋_GB2312" w:cs="Times New Roman"/>
          <w:b w:val="0"/>
          <w:sz w:val="21"/>
          <w:szCs w:val="21"/>
          <w:highlight w:val="none"/>
          <w:shd w:val="clear" w:color="auto" w:fill="auto"/>
        </w:rPr>
        <w:t>第六章 投标文件格式</w:t>
      </w:r>
      <w:r>
        <w:rPr>
          <w:rFonts w:hint="eastAsia" w:ascii="仿宋_GB2312" w:eastAsia="仿宋_GB2312"/>
          <w:b w:val="0"/>
          <w:sz w:val="21"/>
          <w:szCs w:val="21"/>
          <w:highlight w:val="none"/>
          <w:shd w:val="clear" w:color="auto" w:fill="auto"/>
        </w:rPr>
        <w:tab/>
      </w:r>
      <w:r>
        <w:rPr>
          <w:rFonts w:hint="eastAsia" w:ascii="仿宋_GB2312" w:eastAsia="仿宋_GB2312"/>
          <w:b w:val="0"/>
          <w:sz w:val="21"/>
          <w:szCs w:val="21"/>
          <w:highlight w:val="none"/>
          <w:shd w:val="clear" w:color="auto" w:fill="auto"/>
        </w:rPr>
        <w:fldChar w:fldCharType="begin"/>
      </w:r>
      <w:r>
        <w:rPr>
          <w:rFonts w:hint="eastAsia" w:ascii="仿宋_GB2312" w:eastAsia="仿宋_GB2312"/>
          <w:b w:val="0"/>
          <w:sz w:val="21"/>
          <w:szCs w:val="21"/>
          <w:highlight w:val="none"/>
          <w:shd w:val="clear" w:color="auto" w:fill="auto"/>
        </w:rPr>
        <w:instrText xml:space="preserve"> PAGEREF _Toc60646656 \h </w:instrText>
      </w:r>
      <w:r>
        <w:rPr>
          <w:rFonts w:hint="eastAsia" w:ascii="仿宋_GB2312" w:eastAsia="仿宋_GB2312"/>
          <w:b w:val="0"/>
          <w:sz w:val="21"/>
          <w:szCs w:val="21"/>
          <w:highlight w:val="none"/>
          <w:shd w:val="clear" w:color="auto" w:fill="auto"/>
        </w:rPr>
        <w:fldChar w:fldCharType="separate"/>
      </w:r>
      <w:r>
        <w:rPr>
          <w:rFonts w:ascii="仿宋_GB2312" w:eastAsia="仿宋_GB2312"/>
          <w:b w:val="0"/>
          <w:sz w:val="21"/>
          <w:szCs w:val="21"/>
          <w:highlight w:val="none"/>
          <w:shd w:val="clear" w:color="auto" w:fill="auto"/>
        </w:rPr>
        <w:t>41</w:t>
      </w:r>
      <w:r>
        <w:rPr>
          <w:rFonts w:hint="eastAsia" w:ascii="仿宋_GB2312" w:eastAsia="仿宋_GB2312"/>
          <w:b w:val="0"/>
          <w:sz w:val="21"/>
          <w:szCs w:val="21"/>
          <w:highlight w:val="none"/>
          <w:shd w:val="clear" w:color="auto" w:fill="auto"/>
        </w:rPr>
        <w:fldChar w:fldCharType="end"/>
      </w:r>
      <w:r>
        <w:rPr>
          <w:rFonts w:hint="eastAsia" w:ascii="仿宋_GB2312" w:eastAsia="仿宋_GB2312"/>
          <w:b w:val="0"/>
          <w:sz w:val="21"/>
          <w:szCs w:val="21"/>
          <w:highlight w:val="none"/>
          <w:shd w:val="clear" w:color="auto" w:fill="auto"/>
        </w:rPr>
        <w:fldChar w:fldCharType="end"/>
      </w:r>
    </w:p>
    <w:p>
      <w:pPr>
        <w:pStyle w:val="34"/>
        <w:rPr>
          <w:rFonts w:ascii="Times New Roman" w:hAnsi="Times New Roman" w:cs="Times New Roman"/>
          <w:b/>
          <w:szCs w:val="21"/>
          <w:highlight w:val="none"/>
          <w:shd w:val="clear" w:color="auto" w:fill="auto"/>
        </w:rPr>
        <w:sectPr>
          <w:headerReference r:id="rId4" w:type="default"/>
          <w:footerReference r:id="rId5" w:type="default"/>
          <w:pgSz w:w="11906" w:h="16838"/>
          <w:pgMar w:top="1418" w:right="1418" w:bottom="1418" w:left="1418" w:header="851" w:footer="992" w:gutter="0"/>
          <w:pgNumType w:start="1"/>
          <w:cols w:space="425" w:num="1"/>
          <w:docGrid w:type="lines" w:linePitch="312" w:charSpace="0"/>
        </w:sectPr>
      </w:pPr>
      <w:r>
        <w:rPr>
          <w:rFonts w:ascii="Times New Roman" w:hAnsi="Times New Roman" w:eastAsia="宋体" w:cs="Times New Roman"/>
          <w:sz w:val="21"/>
          <w:szCs w:val="32"/>
          <w:highlight w:val="none"/>
          <w:shd w:val="clear" w:color="auto" w:fill="auto"/>
          <w:lang w:val="zh-CN"/>
        </w:rPr>
        <w:fldChar w:fldCharType="end"/>
      </w:r>
    </w:p>
    <w:p>
      <w:pPr>
        <w:pStyle w:val="34"/>
        <w:spacing w:line="360" w:lineRule="auto"/>
        <w:rPr>
          <w:rFonts w:ascii="Times New Roman" w:hAnsi="Times New Roman" w:cs="Times New Roman"/>
          <w:b/>
          <w:szCs w:val="21"/>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bookmarkStart w:id="7" w:name="_Toc532285449"/>
      <w:bookmarkStart w:id="8" w:name="_Toc532388759"/>
      <w:bookmarkStart w:id="9" w:name="_Toc508806319"/>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bookmarkStart w:id="10" w:name="_Toc60646622"/>
      <w:r>
        <w:rPr>
          <w:rFonts w:ascii="Times New Roman" w:hAnsi="Times New Roman" w:eastAsia="黑体" w:cs="Times New Roman"/>
          <w:b/>
          <w:sz w:val="44"/>
          <w:szCs w:val="44"/>
          <w:highlight w:val="none"/>
          <w:shd w:val="clear" w:color="auto" w:fill="auto"/>
        </w:rPr>
        <w:t>第一章 招标公告</w:t>
      </w:r>
      <w:bookmarkEnd w:id="7"/>
      <w:bookmarkEnd w:id="8"/>
      <w:bookmarkEnd w:id="9"/>
      <w:bookmarkEnd w:id="10"/>
    </w:p>
    <w:bookmarkEnd w:id="6"/>
    <w:p>
      <w:pPr>
        <w:spacing w:before="0" w:after="0"/>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br w:type="page"/>
      </w:r>
    </w:p>
    <w:p>
      <w:pPr>
        <w:adjustRightInd w:val="0"/>
        <w:spacing w:beforeLines="50" w:afterLines="50" w:line="360" w:lineRule="auto"/>
        <w:jc w:val="center"/>
        <w:textAlignment w:val="baseline"/>
        <w:rPr>
          <w:rFonts w:ascii="Times New Roman" w:hAnsi="Times New Roman" w:eastAsia="黑体" w:cs="Times New Roman"/>
          <w:b/>
          <w:sz w:val="32"/>
          <w:szCs w:val="32"/>
          <w:highlight w:val="none"/>
          <w:shd w:val="clear" w:color="auto" w:fill="auto"/>
        </w:rPr>
        <w:sectPr>
          <w:footerReference r:id="rId6" w:type="default"/>
          <w:pgSz w:w="11906" w:h="16838"/>
          <w:pgMar w:top="1418" w:right="1418" w:bottom="1418" w:left="1418" w:header="851" w:footer="992" w:gutter="0"/>
          <w:pgNumType w:start="1"/>
          <w:cols w:space="425" w:num="1"/>
          <w:docGrid w:type="lines" w:linePitch="312" w:charSpace="0"/>
        </w:sectPr>
      </w:pPr>
    </w:p>
    <w:p>
      <w:pPr>
        <w:adjustRightInd w:val="0"/>
        <w:spacing w:beforeLines="50" w:afterLines="50" w:line="360" w:lineRule="auto"/>
        <w:jc w:val="center"/>
        <w:textAlignment w:val="baseline"/>
        <w:rPr>
          <w:rFonts w:ascii="Times New Roman" w:hAnsi="Times New Roman" w:eastAsia="黑体" w:cs="Times New Roman"/>
          <w:b/>
          <w:sz w:val="32"/>
          <w:szCs w:val="32"/>
          <w:highlight w:val="none"/>
          <w:shd w:val="clear" w:color="auto" w:fill="auto"/>
        </w:rPr>
      </w:pPr>
      <w:r>
        <w:rPr>
          <w:rFonts w:hint="eastAsia" w:ascii="Times New Roman" w:hAnsi="Times New Roman" w:eastAsia="黑体" w:cs="Times New Roman"/>
          <w:b/>
          <w:sz w:val="32"/>
          <w:szCs w:val="32"/>
          <w:highlight w:val="none"/>
          <w:shd w:val="clear" w:color="auto" w:fill="auto"/>
        </w:rPr>
        <w:t>青岛国信金融中心项目酒店电视</w:t>
      </w:r>
      <w:r>
        <w:rPr>
          <w:rFonts w:ascii="Times New Roman" w:hAnsi="Times New Roman" w:eastAsia="黑体" w:cs="Times New Roman"/>
          <w:b/>
          <w:sz w:val="32"/>
          <w:szCs w:val="32"/>
          <w:highlight w:val="none"/>
          <w:shd w:val="clear" w:color="auto" w:fill="auto"/>
        </w:rPr>
        <w:t>采购招标公告</w:t>
      </w:r>
    </w:p>
    <w:p>
      <w:pPr>
        <w:adjustRightInd w:val="0"/>
        <w:spacing w:before="0" w:after="0" w:line="360" w:lineRule="auto"/>
        <w:jc w:val="center"/>
        <w:textAlignment w:val="baseline"/>
        <w:rPr>
          <w:rFonts w:ascii="Times New Roman" w:hAnsi="Times New Roman" w:cs="Times New Roman"/>
          <w:bCs/>
          <w:sz w:val="24"/>
          <w:szCs w:val="24"/>
          <w:highlight w:val="none"/>
          <w:shd w:val="clear" w:color="auto" w:fill="auto"/>
        </w:rPr>
      </w:pPr>
      <w:r>
        <w:rPr>
          <w:rFonts w:ascii="Times New Roman" w:hAnsi="Times New Roman" w:cs="Times New Roman"/>
          <w:bCs/>
          <w:sz w:val="24"/>
          <w:szCs w:val="24"/>
          <w:highlight w:val="none"/>
          <w:shd w:val="clear" w:color="auto" w:fill="auto"/>
        </w:rPr>
        <w:t>（招标编号：</w:t>
      </w:r>
      <w:r>
        <w:rPr>
          <w:rFonts w:ascii="Times New Roman" w:hAnsi="Times New Roman" w:cs="Times New Roman"/>
          <w:bCs/>
          <w:sz w:val="24"/>
          <w:szCs w:val="24"/>
          <w:highlight w:val="none"/>
          <w:u w:val="single"/>
          <w:shd w:val="clear" w:color="auto" w:fill="auto"/>
        </w:rPr>
        <w:t>ZBXM-山东世元-2021-0000</w:t>
      </w:r>
      <w:r>
        <w:rPr>
          <w:rFonts w:ascii="Times New Roman" w:hAnsi="Times New Roman" w:cs="Times New Roman"/>
          <w:bCs/>
          <w:sz w:val="24"/>
          <w:szCs w:val="24"/>
          <w:highlight w:val="none"/>
          <w:shd w:val="clear" w:color="auto" w:fill="auto"/>
        </w:rPr>
        <w:t>）</w:t>
      </w:r>
    </w:p>
    <w:p>
      <w:pPr>
        <w:widowControl/>
        <w:spacing w:beforeLines="50" w:afterLines="50" w:line="360" w:lineRule="auto"/>
        <w:outlineLvl w:val="1"/>
        <w:rPr>
          <w:rFonts w:ascii="Times New Roman" w:hAnsi="Times New Roman" w:eastAsia="黑体" w:cs="Times New Roman"/>
          <w:b/>
          <w:color w:val="000000"/>
          <w:spacing w:val="1"/>
          <w:sz w:val="28"/>
          <w:szCs w:val="28"/>
          <w:highlight w:val="none"/>
          <w:shd w:val="clear" w:color="auto" w:fill="auto"/>
        </w:rPr>
      </w:pPr>
      <w:bookmarkStart w:id="11" w:name="_Toc508806320"/>
      <w:bookmarkStart w:id="12" w:name="_Toc532285450"/>
      <w:bookmarkStart w:id="13" w:name="_Toc532388760"/>
      <w:bookmarkStart w:id="14" w:name="_Toc1754481"/>
      <w:bookmarkStart w:id="15" w:name="_Toc499646487"/>
      <w:bookmarkStart w:id="16" w:name="_Toc60646623"/>
      <w:r>
        <w:rPr>
          <w:rFonts w:ascii="Times New Roman" w:hAnsi="Times New Roman" w:eastAsia="黑体" w:cs="Times New Roman"/>
          <w:b/>
          <w:color w:val="000000"/>
          <w:spacing w:val="1"/>
          <w:sz w:val="28"/>
          <w:szCs w:val="28"/>
          <w:highlight w:val="none"/>
          <w:shd w:val="clear" w:color="auto" w:fill="auto"/>
        </w:rPr>
        <w:t>1.招标条件</w:t>
      </w:r>
      <w:bookmarkEnd w:id="11"/>
      <w:bookmarkEnd w:id="12"/>
      <w:bookmarkEnd w:id="13"/>
      <w:bookmarkEnd w:id="14"/>
      <w:bookmarkEnd w:id="15"/>
      <w:bookmarkEnd w:id="16"/>
    </w:p>
    <w:p>
      <w:pPr>
        <w:pStyle w:val="107"/>
        <w:spacing w:before="0" w:after="0" w:line="360" w:lineRule="auto"/>
        <w:ind w:firstLine="424" w:firstLineChars="200"/>
        <w:rPr>
          <w:rFonts w:ascii="Times New Roman" w:hAnsi="Times New Roman" w:eastAsiaTheme="minorEastAsia"/>
          <w:spacing w:val="1"/>
          <w:sz w:val="21"/>
          <w:szCs w:val="21"/>
          <w:highlight w:val="none"/>
          <w:shd w:val="clear" w:color="auto" w:fill="auto"/>
          <w:lang w:eastAsia="zh-CN"/>
        </w:rPr>
      </w:pPr>
      <w:r>
        <w:rPr>
          <w:rFonts w:ascii="Times New Roman" w:hAnsi="Times New Roman" w:eastAsiaTheme="minorEastAsia"/>
          <w:spacing w:val="1"/>
          <w:sz w:val="21"/>
          <w:szCs w:val="21"/>
          <w:highlight w:val="none"/>
          <w:shd w:val="clear" w:color="auto" w:fill="auto"/>
          <w:lang w:eastAsia="zh-CN"/>
        </w:rPr>
        <w:t>本招标项目</w:t>
      </w:r>
      <w:r>
        <w:rPr>
          <w:rFonts w:hint="eastAsia" w:ascii="Times New Roman" w:hAnsi="Times New Roman" w:eastAsiaTheme="minorEastAsia"/>
          <w:spacing w:val="1"/>
          <w:sz w:val="21"/>
          <w:szCs w:val="21"/>
          <w:highlight w:val="none"/>
          <w:shd w:val="clear" w:color="auto" w:fill="auto"/>
          <w:lang w:eastAsia="zh-CN"/>
        </w:rPr>
        <w:t>青岛国信金融中心项目酒店电视采购安装</w:t>
      </w:r>
      <w:r>
        <w:rPr>
          <w:rFonts w:ascii="Times New Roman" w:hAnsi="Times New Roman" w:eastAsiaTheme="minorEastAsia"/>
          <w:spacing w:val="1"/>
          <w:sz w:val="21"/>
          <w:szCs w:val="21"/>
          <w:highlight w:val="none"/>
          <w:shd w:val="clear" w:color="auto" w:fill="auto"/>
          <w:lang w:eastAsia="zh-CN"/>
        </w:rPr>
        <w:t>，项目资金已落实，招标人为</w:t>
      </w:r>
      <w:r>
        <w:rPr>
          <w:rFonts w:hint="eastAsia" w:ascii="Times New Roman" w:hAnsi="Times New Roman" w:eastAsiaTheme="minorEastAsia"/>
          <w:spacing w:val="1"/>
          <w:sz w:val="21"/>
          <w:szCs w:val="21"/>
          <w:highlight w:val="none"/>
          <w:shd w:val="clear" w:color="auto" w:fill="auto"/>
          <w:lang w:eastAsia="zh-CN"/>
        </w:rPr>
        <w:t>青岛国信财富发展中心建设有限公司</w:t>
      </w:r>
      <w:r>
        <w:rPr>
          <w:rFonts w:ascii="Times New Roman" w:hAnsi="Times New Roman" w:eastAsiaTheme="minorEastAsia"/>
          <w:spacing w:val="1"/>
          <w:sz w:val="21"/>
          <w:szCs w:val="21"/>
          <w:highlight w:val="none"/>
          <w:shd w:val="clear" w:color="auto" w:fill="auto"/>
          <w:lang w:eastAsia="zh-CN"/>
        </w:rPr>
        <w:t>，招标代理机构为</w:t>
      </w:r>
      <w:r>
        <w:rPr>
          <w:rFonts w:hint="eastAsia" w:ascii="Times New Roman" w:hAnsi="Times New Roman" w:eastAsiaTheme="minorEastAsia"/>
          <w:spacing w:val="1"/>
          <w:sz w:val="21"/>
          <w:szCs w:val="21"/>
          <w:highlight w:val="none"/>
          <w:shd w:val="clear" w:color="auto" w:fill="auto"/>
          <w:lang w:eastAsia="zh-CN"/>
        </w:rPr>
        <w:t>山东世元工程管理有限公司</w:t>
      </w:r>
      <w:r>
        <w:rPr>
          <w:rFonts w:ascii="Times New Roman" w:hAnsi="Times New Roman" w:eastAsiaTheme="minorEastAsia"/>
          <w:spacing w:val="1"/>
          <w:sz w:val="21"/>
          <w:szCs w:val="21"/>
          <w:highlight w:val="none"/>
          <w:shd w:val="clear" w:color="auto" w:fill="auto"/>
          <w:lang w:eastAsia="zh-CN"/>
        </w:rPr>
        <w:t>。项目已具备招标条件，现对该项目的货物采购进行公开招标。本次招标采用资格后审。</w:t>
      </w:r>
    </w:p>
    <w:p>
      <w:pPr>
        <w:widowControl/>
        <w:spacing w:beforeLines="50" w:afterLines="50" w:line="360" w:lineRule="auto"/>
        <w:outlineLvl w:val="1"/>
        <w:rPr>
          <w:rFonts w:ascii="Times New Roman" w:hAnsi="Times New Roman" w:eastAsia="黑体" w:cs="Times New Roman"/>
          <w:b/>
          <w:color w:val="000000"/>
          <w:spacing w:val="1"/>
          <w:sz w:val="28"/>
          <w:szCs w:val="28"/>
          <w:highlight w:val="none"/>
          <w:shd w:val="clear" w:color="auto" w:fill="auto"/>
        </w:rPr>
      </w:pPr>
      <w:bookmarkStart w:id="17" w:name="_Toc1754482"/>
      <w:bookmarkStart w:id="18" w:name="_Toc532388761"/>
      <w:bookmarkStart w:id="19" w:name="_Toc60646624"/>
      <w:bookmarkStart w:id="20" w:name="_Toc508806321"/>
      <w:bookmarkStart w:id="21" w:name="_Toc532285451"/>
      <w:bookmarkStart w:id="22" w:name="_Toc499646488"/>
      <w:r>
        <w:rPr>
          <w:rFonts w:ascii="Times New Roman" w:hAnsi="Times New Roman" w:eastAsia="黑体" w:cs="Times New Roman"/>
          <w:b/>
          <w:color w:val="000000"/>
          <w:spacing w:val="1"/>
          <w:sz w:val="28"/>
          <w:szCs w:val="28"/>
          <w:highlight w:val="none"/>
          <w:shd w:val="clear" w:color="auto" w:fill="auto"/>
        </w:rPr>
        <w:t>2.项目概况与招标范围</w:t>
      </w:r>
      <w:bookmarkEnd w:id="17"/>
      <w:bookmarkEnd w:id="18"/>
      <w:bookmarkEnd w:id="19"/>
      <w:bookmarkEnd w:id="20"/>
      <w:bookmarkEnd w:id="21"/>
      <w:bookmarkEnd w:id="22"/>
    </w:p>
    <w:p>
      <w:pPr>
        <w:pStyle w:val="107"/>
        <w:spacing w:before="0" w:after="0" w:line="360" w:lineRule="auto"/>
        <w:ind w:firstLine="424" w:firstLineChars="202"/>
        <w:jc w:val="left"/>
        <w:rPr>
          <w:rFonts w:ascii="Times New Roman" w:hAnsi="Times New Roman" w:eastAsiaTheme="minorEastAsia"/>
          <w:color w:val="000000"/>
          <w:spacing w:val="1"/>
          <w:sz w:val="21"/>
          <w:szCs w:val="21"/>
          <w:highlight w:val="none"/>
          <w:shd w:val="clear" w:color="auto" w:fill="auto"/>
          <w:lang w:eastAsia="zh-CN"/>
        </w:rPr>
      </w:pPr>
      <w:bookmarkStart w:id="23" w:name="_Toc499646489"/>
      <w:bookmarkStart w:id="24" w:name="_Toc508806322"/>
      <w:r>
        <w:rPr>
          <w:rFonts w:ascii="Times New Roman" w:hAnsi="Times New Roman" w:eastAsiaTheme="minorEastAsia"/>
          <w:color w:val="000000"/>
          <w:sz w:val="21"/>
          <w:szCs w:val="21"/>
          <w:highlight w:val="none"/>
          <w:shd w:val="clear" w:color="auto" w:fill="auto"/>
          <w:lang w:eastAsia="zh-CN"/>
        </w:rPr>
        <w:t>2.1</w:t>
      </w:r>
      <w:r>
        <w:rPr>
          <w:rFonts w:ascii="Times New Roman" w:hAnsi="Times New Roman" w:eastAsiaTheme="minorEastAsia"/>
          <w:color w:val="000000"/>
          <w:spacing w:val="1"/>
          <w:sz w:val="21"/>
          <w:szCs w:val="21"/>
          <w:highlight w:val="none"/>
          <w:shd w:val="clear" w:color="auto" w:fill="auto"/>
          <w:lang w:eastAsia="zh-CN"/>
        </w:rPr>
        <w:t>项目建设地点：</w:t>
      </w:r>
      <w:r>
        <w:rPr>
          <w:rFonts w:hint="eastAsia" w:ascii="Times New Roman" w:hAnsi="Times New Roman" w:eastAsia="宋体"/>
          <w:color w:val="000000"/>
          <w:spacing w:val="1"/>
          <w:sz w:val="21"/>
          <w:szCs w:val="21"/>
          <w:highlight w:val="none"/>
          <w:shd w:val="clear" w:color="auto" w:fill="auto"/>
          <w:lang w:eastAsia="zh-CN"/>
        </w:rPr>
        <w:t>项目位于青岛国际会展中心北侧，南临苗岭路，靠会展中心1号、3号展馆，北临仙霞岭路，东临云岭路，西靠崂山区世纪广场。</w:t>
      </w:r>
    </w:p>
    <w:p>
      <w:pPr>
        <w:pStyle w:val="107"/>
        <w:spacing w:before="0" w:after="0" w:line="360" w:lineRule="auto"/>
        <w:ind w:firstLine="387" w:firstLineChars="202"/>
        <w:jc w:val="left"/>
        <w:rPr>
          <w:rFonts w:ascii="Times New Roman" w:hAnsi="Times New Roman" w:eastAsiaTheme="minorEastAsia"/>
          <w:color w:val="000000"/>
          <w:spacing w:val="-9"/>
          <w:sz w:val="21"/>
          <w:szCs w:val="21"/>
          <w:highlight w:val="none"/>
          <w:shd w:val="clear" w:color="auto" w:fill="auto"/>
          <w:lang w:eastAsia="zh-CN"/>
        </w:rPr>
      </w:pPr>
      <w:r>
        <w:rPr>
          <w:rFonts w:ascii="Times New Roman" w:hAnsi="Times New Roman" w:eastAsiaTheme="minorEastAsia"/>
          <w:color w:val="000000"/>
          <w:spacing w:val="-9"/>
          <w:sz w:val="21"/>
          <w:szCs w:val="21"/>
          <w:highlight w:val="none"/>
          <w:shd w:val="clear" w:color="auto" w:fill="auto"/>
          <w:lang w:eastAsia="zh-CN"/>
        </w:rPr>
        <w:t>2.2招标范围：</w:t>
      </w:r>
      <w:r>
        <w:rPr>
          <w:rFonts w:hint="eastAsia" w:ascii="Times New Roman" w:hAnsi="Times New Roman" w:eastAsiaTheme="minorEastAsia"/>
          <w:color w:val="000000"/>
          <w:spacing w:val="-9"/>
          <w:sz w:val="21"/>
          <w:szCs w:val="21"/>
          <w:highlight w:val="none"/>
          <w:shd w:val="clear" w:color="auto" w:fill="auto"/>
          <w:lang w:eastAsia="zh-CN"/>
        </w:rPr>
        <w:t>本项目酒店客房电视（（含369个挂墙支架及35套</w:t>
      </w:r>
      <w:r>
        <w:rPr>
          <w:rFonts w:ascii="Times New Roman" w:hAnsi="Times New Roman" w:eastAsiaTheme="minorEastAsia"/>
          <w:color w:val="000000"/>
          <w:spacing w:val="-9"/>
          <w:sz w:val="21"/>
          <w:szCs w:val="21"/>
          <w:highlight w:val="none"/>
          <w:shd w:val="clear" w:color="auto" w:fill="auto"/>
          <w:lang w:eastAsia="zh-CN"/>
        </w:rPr>
        <w:t>万能通用落地电视增高脚架</w:t>
      </w:r>
      <w:r>
        <w:rPr>
          <w:rFonts w:hint="eastAsia" w:ascii="Times New Roman" w:hAnsi="Times New Roman" w:eastAsiaTheme="minorEastAsia"/>
          <w:color w:val="000000"/>
          <w:spacing w:val="-9"/>
          <w:sz w:val="21"/>
          <w:szCs w:val="21"/>
          <w:highlight w:val="none"/>
          <w:shd w:val="clear" w:color="auto" w:fill="auto"/>
          <w:lang w:eastAsia="zh-CN"/>
        </w:rPr>
        <w:t>））采购及安装，共计404台</w:t>
      </w:r>
    </w:p>
    <w:p>
      <w:pPr>
        <w:pStyle w:val="107"/>
        <w:spacing w:before="0" w:after="0" w:line="360" w:lineRule="auto"/>
        <w:ind w:firstLine="433" w:firstLineChars="226"/>
        <w:jc w:val="left"/>
        <w:rPr>
          <w:rFonts w:ascii="Times New Roman" w:hAnsi="Times New Roman" w:eastAsiaTheme="minorEastAsia"/>
          <w:color w:val="000000"/>
          <w:spacing w:val="-9"/>
          <w:sz w:val="21"/>
          <w:szCs w:val="21"/>
          <w:highlight w:val="none"/>
          <w:shd w:val="clear" w:color="auto" w:fill="auto"/>
          <w:lang w:eastAsia="zh-CN"/>
        </w:rPr>
      </w:pPr>
      <w:r>
        <w:rPr>
          <w:rFonts w:ascii="Times New Roman" w:hAnsi="Times New Roman" w:eastAsiaTheme="minorEastAsia"/>
          <w:color w:val="000000"/>
          <w:spacing w:val="-9"/>
          <w:sz w:val="21"/>
          <w:szCs w:val="21"/>
          <w:highlight w:val="none"/>
          <w:shd w:val="clear" w:color="auto" w:fill="auto"/>
          <w:lang w:eastAsia="zh-CN"/>
        </w:rPr>
        <w:t>2.3标段划分：</w:t>
      </w:r>
      <w:r>
        <w:rPr>
          <w:rFonts w:hint="eastAsia" w:ascii="Times New Roman" w:hAnsi="Times New Roman" w:eastAsiaTheme="minorEastAsia"/>
          <w:color w:val="000000"/>
          <w:spacing w:val="-9"/>
          <w:sz w:val="21"/>
          <w:szCs w:val="21"/>
          <w:highlight w:val="none"/>
          <w:shd w:val="clear" w:color="auto" w:fill="auto"/>
          <w:lang w:eastAsia="zh-CN"/>
        </w:rPr>
        <w:t>不分标段</w:t>
      </w:r>
    </w:p>
    <w:p>
      <w:pPr>
        <w:spacing w:before="0" w:after="0" w:line="360" w:lineRule="auto"/>
        <w:ind w:firstLine="433" w:firstLineChars="226"/>
        <w:rPr>
          <w:rFonts w:ascii="Times New Roman" w:hAnsi="Times New Roman" w:cs="Times New Roman"/>
          <w:color w:val="000000"/>
          <w:spacing w:val="-9"/>
          <w:kern w:val="0"/>
          <w:szCs w:val="21"/>
          <w:highlight w:val="none"/>
          <w:shd w:val="clear" w:color="auto" w:fill="auto"/>
        </w:rPr>
      </w:pPr>
      <w:r>
        <w:rPr>
          <w:rFonts w:ascii="Times New Roman" w:hAnsi="Times New Roman" w:cs="Times New Roman"/>
          <w:color w:val="000000"/>
          <w:spacing w:val="-9"/>
          <w:kern w:val="0"/>
          <w:szCs w:val="21"/>
          <w:highlight w:val="none"/>
          <w:shd w:val="clear" w:color="auto" w:fill="auto"/>
        </w:rPr>
        <w:t>2.</w:t>
      </w:r>
      <w:r>
        <w:rPr>
          <w:rFonts w:hint="eastAsia" w:ascii="Times New Roman" w:hAnsi="Times New Roman" w:cs="Times New Roman"/>
          <w:color w:val="000000"/>
          <w:spacing w:val="-9"/>
          <w:kern w:val="0"/>
          <w:szCs w:val="21"/>
          <w:highlight w:val="none"/>
          <w:shd w:val="clear" w:color="auto" w:fill="auto"/>
        </w:rPr>
        <w:t>4</w:t>
      </w:r>
      <w:r>
        <w:rPr>
          <w:rFonts w:ascii="Times New Roman" w:hAnsi="Times New Roman" w:cs="Times New Roman"/>
          <w:color w:val="000000"/>
          <w:spacing w:val="-9"/>
          <w:kern w:val="0"/>
          <w:szCs w:val="21"/>
          <w:highlight w:val="none"/>
          <w:shd w:val="clear" w:color="auto" w:fill="auto"/>
        </w:rPr>
        <w:t>交货地点：</w:t>
      </w:r>
      <w:r>
        <w:rPr>
          <w:rFonts w:hint="eastAsia" w:ascii="Times New Roman" w:hAnsi="Times New Roman" w:cs="Times New Roman"/>
          <w:color w:val="000000"/>
          <w:spacing w:val="-9"/>
          <w:kern w:val="0"/>
          <w:szCs w:val="21"/>
          <w:highlight w:val="none"/>
          <w:shd w:val="clear" w:color="auto" w:fill="auto"/>
        </w:rPr>
        <w:t>青岛市崂山区金融中心酒店</w:t>
      </w:r>
    </w:p>
    <w:p>
      <w:pPr>
        <w:spacing w:before="0" w:after="0" w:line="360" w:lineRule="auto"/>
        <w:ind w:firstLine="384" w:firstLineChars="200"/>
        <w:rPr>
          <w:rFonts w:ascii="Times New Roman" w:hAnsi="Times New Roman" w:cs="Times New Roman"/>
          <w:color w:val="000000"/>
          <w:spacing w:val="-9"/>
          <w:szCs w:val="21"/>
          <w:highlight w:val="none"/>
          <w:shd w:val="clear" w:color="auto" w:fill="auto"/>
        </w:rPr>
      </w:pPr>
      <w:r>
        <w:rPr>
          <w:rFonts w:ascii="Times New Roman" w:hAnsi="Times New Roman" w:cs="Times New Roman"/>
          <w:color w:val="000000"/>
          <w:spacing w:val="-9"/>
          <w:kern w:val="0"/>
          <w:szCs w:val="21"/>
          <w:highlight w:val="none"/>
          <w:shd w:val="clear" w:color="auto" w:fill="auto"/>
        </w:rPr>
        <w:t>2.</w:t>
      </w:r>
      <w:r>
        <w:rPr>
          <w:rFonts w:hint="eastAsia" w:ascii="Times New Roman" w:hAnsi="Times New Roman" w:cs="Times New Roman"/>
          <w:color w:val="000000"/>
          <w:spacing w:val="-9"/>
          <w:kern w:val="0"/>
          <w:szCs w:val="21"/>
          <w:highlight w:val="none"/>
          <w:shd w:val="clear" w:color="auto" w:fill="auto"/>
          <w:lang w:val="en-US" w:eastAsia="zh-CN"/>
        </w:rPr>
        <w:t>5</w:t>
      </w:r>
      <w:r>
        <w:rPr>
          <w:rFonts w:ascii="Times New Roman" w:hAnsi="Times New Roman" w:cs="Times New Roman"/>
          <w:color w:val="000000"/>
          <w:spacing w:val="-9"/>
          <w:kern w:val="0"/>
          <w:szCs w:val="21"/>
          <w:highlight w:val="none"/>
          <w:shd w:val="clear" w:color="auto" w:fill="auto"/>
        </w:rPr>
        <w:t xml:space="preserve"> 交货期：</w:t>
      </w:r>
      <w:r>
        <w:rPr>
          <w:rFonts w:hint="eastAsia" w:ascii="Times New Roman" w:hAnsi="Times New Roman" w:cs="Times New Roman"/>
          <w:color w:val="000000"/>
          <w:spacing w:val="1"/>
          <w:kern w:val="0"/>
          <w:szCs w:val="21"/>
          <w:highlight w:val="none"/>
          <w:shd w:val="clear" w:color="auto" w:fill="auto"/>
        </w:rPr>
        <w:t>中标后10日历日内完成供货安装并调试完毕。</w:t>
      </w:r>
    </w:p>
    <w:p>
      <w:pPr>
        <w:spacing w:before="0" w:after="0" w:line="360" w:lineRule="auto"/>
        <w:ind w:firstLine="384" w:firstLineChars="200"/>
        <w:rPr>
          <w:rFonts w:ascii="Times New Roman" w:hAnsi="Times New Roman" w:cs="Times New Roman"/>
          <w:color w:val="000000"/>
          <w:spacing w:val="-9"/>
          <w:szCs w:val="21"/>
          <w:highlight w:val="none"/>
          <w:shd w:val="clear" w:color="auto" w:fill="auto"/>
        </w:rPr>
      </w:pPr>
      <w:r>
        <w:rPr>
          <w:rFonts w:hint="eastAsia" w:ascii="Times New Roman" w:hAnsi="Times New Roman" w:cs="Times New Roman"/>
          <w:color w:val="000000"/>
          <w:spacing w:val="-9"/>
          <w:szCs w:val="21"/>
          <w:highlight w:val="none"/>
          <w:shd w:val="clear" w:color="auto" w:fill="auto"/>
        </w:rPr>
        <w:t>2.</w:t>
      </w:r>
      <w:r>
        <w:rPr>
          <w:rFonts w:hint="eastAsia" w:ascii="Times New Roman" w:hAnsi="Times New Roman" w:cs="Times New Roman"/>
          <w:color w:val="000000"/>
          <w:spacing w:val="-9"/>
          <w:szCs w:val="21"/>
          <w:highlight w:val="none"/>
          <w:shd w:val="clear" w:color="auto" w:fill="auto"/>
          <w:lang w:val="en-US" w:eastAsia="zh-CN"/>
        </w:rPr>
        <w:t>6</w:t>
      </w:r>
      <w:r>
        <w:rPr>
          <w:rFonts w:ascii="Times New Roman" w:hAnsi="Times New Roman" w:cs="Times New Roman"/>
          <w:color w:val="000000"/>
          <w:spacing w:val="-9"/>
          <w:szCs w:val="21"/>
          <w:highlight w:val="none"/>
          <w:shd w:val="clear" w:color="auto" w:fill="auto"/>
        </w:rPr>
        <w:t>最高投标限价</w:t>
      </w:r>
      <w:r>
        <w:rPr>
          <w:rFonts w:hint="eastAsia" w:ascii="Times New Roman" w:hAnsi="Times New Roman" w:cs="Times New Roman"/>
          <w:color w:val="000000"/>
          <w:spacing w:val="-9"/>
          <w:szCs w:val="21"/>
          <w:highlight w:val="none"/>
          <w:shd w:val="clear" w:color="auto" w:fill="auto"/>
        </w:rPr>
        <w:t>：本项目</w:t>
      </w:r>
      <w:r>
        <w:rPr>
          <w:rFonts w:ascii="Times New Roman" w:hAnsi="Times New Roman" w:cs="Times New Roman"/>
          <w:color w:val="000000"/>
          <w:spacing w:val="-9"/>
          <w:szCs w:val="21"/>
          <w:highlight w:val="none"/>
          <w:shd w:val="clear" w:color="auto" w:fill="auto"/>
        </w:rPr>
        <w:t>最高投标限价</w:t>
      </w:r>
      <w:r>
        <w:rPr>
          <w:rFonts w:hint="eastAsia" w:ascii="Times New Roman" w:hAnsi="Times New Roman" w:cs="Times New Roman"/>
          <w:color w:val="000000"/>
          <w:spacing w:val="-9"/>
          <w:szCs w:val="21"/>
          <w:highlight w:val="none"/>
          <w:shd w:val="clear" w:color="auto" w:fill="auto"/>
        </w:rPr>
        <w:t>为909000元。</w:t>
      </w:r>
    </w:p>
    <w:p>
      <w:pPr>
        <w:widowControl/>
        <w:spacing w:beforeLines="50" w:afterLines="50" w:line="360" w:lineRule="auto"/>
        <w:outlineLvl w:val="1"/>
        <w:rPr>
          <w:rFonts w:ascii="Times New Roman" w:hAnsi="Times New Roman" w:eastAsia="黑体" w:cs="Times New Roman"/>
          <w:b/>
          <w:color w:val="000000"/>
          <w:spacing w:val="1"/>
          <w:sz w:val="28"/>
          <w:szCs w:val="28"/>
          <w:highlight w:val="none"/>
          <w:shd w:val="clear" w:color="auto" w:fill="auto"/>
        </w:rPr>
      </w:pPr>
      <w:bookmarkStart w:id="25" w:name="_Toc532388762"/>
      <w:bookmarkStart w:id="26" w:name="_Toc1754483"/>
      <w:bookmarkStart w:id="27" w:name="_Toc60646625"/>
      <w:bookmarkStart w:id="28" w:name="_Toc532285452"/>
      <w:r>
        <w:rPr>
          <w:rFonts w:ascii="Times New Roman" w:hAnsi="Times New Roman" w:eastAsia="黑体" w:cs="Times New Roman"/>
          <w:b/>
          <w:color w:val="000000"/>
          <w:spacing w:val="1"/>
          <w:sz w:val="28"/>
          <w:szCs w:val="28"/>
          <w:highlight w:val="none"/>
          <w:shd w:val="clear" w:color="auto" w:fill="auto"/>
        </w:rPr>
        <w:t>3.投标人资格要求</w:t>
      </w:r>
      <w:bookmarkEnd w:id="23"/>
      <w:bookmarkEnd w:id="24"/>
      <w:bookmarkEnd w:id="25"/>
      <w:bookmarkEnd w:id="26"/>
      <w:bookmarkEnd w:id="27"/>
      <w:bookmarkEnd w:id="28"/>
    </w:p>
    <w:p>
      <w:pPr>
        <w:pStyle w:val="107"/>
        <w:spacing w:before="0" w:after="0" w:line="360" w:lineRule="auto"/>
        <w:ind w:firstLine="428" w:firstLineChars="202"/>
        <w:jc w:val="left"/>
        <w:rPr>
          <w:rFonts w:ascii="Times New Roman" w:hAnsi="Times New Roman" w:eastAsiaTheme="minorEastAsia"/>
          <w:color w:val="000000"/>
          <w:spacing w:val="1"/>
          <w:sz w:val="21"/>
          <w:szCs w:val="21"/>
          <w:highlight w:val="none"/>
          <w:shd w:val="clear" w:color="auto" w:fill="auto"/>
          <w:lang w:eastAsia="zh-CN"/>
        </w:rPr>
      </w:pPr>
      <w:r>
        <w:rPr>
          <w:rFonts w:ascii="Times New Roman" w:hAnsi="Times New Roman" w:eastAsiaTheme="minorEastAsia"/>
          <w:color w:val="000000"/>
          <w:spacing w:val="1"/>
          <w:sz w:val="21"/>
          <w:szCs w:val="21"/>
          <w:highlight w:val="none"/>
          <w:shd w:val="clear" w:color="auto" w:fill="auto"/>
          <w:lang w:eastAsia="zh-CN"/>
        </w:rPr>
        <w:t>3.1投标人须具有中华人民共和国国内的独立民事主体；</w:t>
      </w:r>
    </w:p>
    <w:p>
      <w:pPr>
        <w:pStyle w:val="107"/>
        <w:spacing w:before="0" w:after="0" w:line="360" w:lineRule="auto"/>
        <w:ind w:firstLine="428" w:firstLineChars="202"/>
        <w:jc w:val="left"/>
        <w:rPr>
          <w:rFonts w:ascii="Times New Roman" w:hAnsi="Times New Roman" w:eastAsiaTheme="minorEastAsia"/>
          <w:color w:val="000000"/>
          <w:spacing w:val="1"/>
          <w:sz w:val="21"/>
          <w:szCs w:val="21"/>
          <w:highlight w:val="none"/>
          <w:shd w:val="clear" w:color="auto" w:fill="auto"/>
          <w:lang w:eastAsia="zh-CN"/>
        </w:rPr>
      </w:pPr>
      <w:r>
        <w:rPr>
          <w:rFonts w:ascii="Times New Roman" w:hAnsi="Times New Roman" w:eastAsiaTheme="minorEastAsia"/>
          <w:color w:val="000000"/>
          <w:spacing w:val="1"/>
          <w:sz w:val="21"/>
          <w:szCs w:val="21"/>
          <w:highlight w:val="none"/>
          <w:shd w:val="clear" w:color="auto" w:fill="auto"/>
          <w:lang w:eastAsia="zh-CN"/>
        </w:rPr>
        <w:t>3.2</w:t>
      </w:r>
      <w:r>
        <w:rPr>
          <w:rFonts w:hint="eastAsia" w:ascii="Times New Roman" w:hAnsi="Times New Roman" w:eastAsiaTheme="minorEastAsia"/>
          <w:color w:val="000000"/>
          <w:spacing w:val="1"/>
          <w:sz w:val="21"/>
          <w:szCs w:val="21"/>
          <w:highlight w:val="none"/>
          <w:shd w:val="clear" w:color="auto" w:fill="auto"/>
          <w:lang w:eastAsia="zh-CN"/>
        </w:rPr>
        <w:t>具有本项目供货能力的生产制造商或代理商（若为代理商需提供制造商针对本项目唯一授权委托书），</w:t>
      </w:r>
      <w:r>
        <w:rPr>
          <w:rFonts w:ascii="Times New Roman" w:hAnsi="Times New Roman" w:eastAsiaTheme="minorEastAsia"/>
          <w:color w:val="000000"/>
          <w:spacing w:val="1"/>
          <w:sz w:val="21"/>
          <w:szCs w:val="21"/>
          <w:highlight w:val="none"/>
          <w:shd w:val="clear" w:color="auto" w:fill="auto"/>
          <w:lang w:eastAsia="zh-CN"/>
        </w:rPr>
        <w:t>一个制造商对同一品牌同一型号的</w:t>
      </w:r>
      <w:r>
        <w:rPr>
          <w:rFonts w:hint="eastAsia" w:ascii="Times New Roman" w:hAnsi="Times New Roman" w:eastAsiaTheme="minorEastAsia"/>
          <w:color w:val="000000"/>
          <w:spacing w:val="1"/>
          <w:sz w:val="21"/>
          <w:szCs w:val="21"/>
          <w:highlight w:val="none"/>
          <w:shd w:val="clear" w:color="auto" w:fill="auto"/>
          <w:lang w:eastAsia="zh-CN"/>
        </w:rPr>
        <w:t>货物</w:t>
      </w:r>
      <w:r>
        <w:rPr>
          <w:rFonts w:ascii="Times New Roman" w:hAnsi="Times New Roman" w:eastAsiaTheme="minorEastAsia"/>
          <w:color w:val="000000"/>
          <w:spacing w:val="1"/>
          <w:sz w:val="21"/>
          <w:szCs w:val="21"/>
          <w:highlight w:val="none"/>
          <w:shd w:val="clear" w:color="auto" w:fill="auto"/>
          <w:lang w:eastAsia="zh-CN"/>
        </w:rPr>
        <w:t>，仅能委托一个代理商参加投标；</w:t>
      </w:r>
    </w:p>
    <w:p>
      <w:pPr>
        <w:pStyle w:val="107"/>
        <w:spacing w:before="0" w:after="0" w:line="360" w:lineRule="auto"/>
        <w:ind w:firstLine="428" w:firstLineChars="202"/>
        <w:jc w:val="left"/>
        <w:rPr>
          <w:rFonts w:ascii="Times New Roman" w:hAnsi="Times New Roman" w:eastAsiaTheme="minorEastAsia"/>
          <w:color w:val="000000"/>
          <w:spacing w:val="1"/>
          <w:sz w:val="21"/>
          <w:szCs w:val="21"/>
          <w:highlight w:val="none"/>
          <w:shd w:val="clear" w:color="auto" w:fill="auto"/>
          <w:lang w:eastAsia="zh-CN"/>
        </w:rPr>
      </w:pPr>
      <w:r>
        <w:rPr>
          <w:rFonts w:hint="eastAsia" w:ascii="Times New Roman" w:hAnsi="Times New Roman" w:eastAsiaTheme="minorEastAsia"/>
          <w:color w:val="000000"/>
          <w:spacing w:val="1"/>
          <w:sz w:val="21"/>
          <w:szCs w:val="21"/>
          <w:highlight w:val="none"/>
          <w:shd w:val="clear" w:color="auto" w:fill="auto"/>
          <w:lang w:eastAsia="zh-CN"/>
        </w:rPr>
        <w:t>3.3</w:t>
      </w:r>
      <w:r>
        <w:rPr>
          <w:rFonts w:ascii="Times New Roman" w:hAnsi="Times New Roman" w:eastAsiaTheme="minorEastAsia"/>
          <w:color w:val="000000"/>
          <w:spacing w:val="1"/>
          <w:sz w:val="21"/>
          <w:szCs w:val="21"/>
          <w:highlight w:val="none"/>
          <w:shd w:val="clear" w:color="auto" w:fill="auto"/>
          <w:lang w:eastAsia="zh-CN"/>
        </w:rPr>
        <w:t>同一品牌只限一个报价人参与投标；</w:t>
      </w:r>
    </w:p>
    <w:p>
      <w:pPr>
        <w:pStyle w:val="107"/>
        <w:spacing w:before="0" w:after="0" w:line="360" w:lineRule="auto"/>
        <w:ind w:firstLine="428" w:firstLineChars="202"/>
        <w:jc w:val="left"/>
        <w:rPr>
          <w:rFonts w:ascii="Times New Roman" w:hAnsi="Times New Roman" w:eastAsiaTheme="minorEastAsia"/>
          <w:color w:val="000000"/>
          <w:spacing w:val="1"/>
          <w:sz w:val="21"/>
          <w:szCs w:val="21"/>
          <w:highlight w:val="none"/>
          <w:shd w:val="clear" w:color="auto" w:fill="auto"/>
          <w:lang w:eastAsia="zh-CN"/>
        </w:rPr>
      </w:pPr>
      <w:r>
        <w:rPr>
          <w:rFonts w:ascii="Times New Roman" w:hAnsi="Times New Roman" w:eastAsiaTheme="minorEastAsia"/>
          <w:color w:val="000000"/>
          <w:spacing w:val="1"/>
          <w:sz w:val="21"/>
          <w:szCs w:val="21"/>
          <w:highlight w:val="none"/>
          <w:shd w:val="clear" w:color="auto" w:fill="auto"/>
          <w:lang w:eastAsia="zh-CN"/>
        </w:rPr>
        <w:t>3.</w:t>
      </w:r>
      <w:r>
        <w:rPr>
          <w:rFonts w:hint="eastAsia" w:ascii="Times New Roman" w:hAnsi="Times New Roman" w:eastAsiaTheme="minorEastAsia"/>
          <w:color w:val="000000"/>
          <w:spacing w:val="1"/>
          <w:sz w:val="21"/>
          <w:szCs w:val="21"/>
          <w:highlight w:val="none"/>
          <w:shd w:val="clear" w:color="auto" w:fill="auto"/>
          <w:lang w:val="en-US" w:eastAsia="zh-CN"/>
        </w:rPr>
        <w:t>4</w:t>
      </w:r>
      <w:r>
        <w:rPr>
          <w:rFonts w:hint="eastAsia" w:ascii="Times New Roman" w:hAnsi="Times New Roman" w:eastAsiaTheme="minorEastAsia"/>
          <w:color w:val="000000"/>
          <w:spacing w:val="1"/>
          <w:sz w:val="21"/>
          <w:szCs w:val="21"/>
          <w:highlight w:val="none"/>
          <w:shd w:val="clear" w:color="auto" w:fill="auto"/>
          <w:lang w:eastAsia="zh-CN"/>
        </w:rPr>
        <w:t>投标人上三年（自2018年1月1日至公告发出之日止）至少完成过一项同类业绩</w:t>
      </w:r>
      <w:r>
        <w:rPr>
          <w:rFonts w:ascii="Times New Roman" w:hAnsi="Times New Roman" w:eastAsiaTheme="minorEastAsia"/>
          <w:color w:val="000000"/>
          <w:spacing w:val="1"/>
          <w:sz w:val="21"/>
          <w:szCs w:val="21"/>
          <w:highlight w:val="none"/>
          <w:shd w:val="clear" w:color="auto" w:fill="auto"/>
          <w:lang w:eastAsia="zh-CN"/>
        </w:rPr>
        <w:t>；</w:t>
      </w:r>
    </w:p>
    <w:p>
      <w:pPr>
        <w:pStyle w:val="107"/>
        <w:spacing w:before="0" w:after="0" w:line="360" w:lineRule="auto"/>
        <w:ind w:firstLine="428" w:firstLineChars="202"/>
        <w:jc w:val="left"/>
        <w:rPr>
          <w:rFonts w:ascii="Times New Roman" w:hAnsi="Times New Roman" w:eastAsiaTheme="minorEastAsia"/>
          <w:color w:val="000000"/>
          <w:spacing w:val="1"/>
          <w:sz w:val="21"/>
          <w:szCs w:val="21"/>
          <w:highlight w:val="none"/>
          <w:shd w:val="clear" w:color="auto" w:fill="auto"/>
          <w:lang w:eastAsia="zh-CN"/>
        </w:rPr>
      </w:pPr>
      <w:r>
        <w:rPr>
          <w:rFonts w:hint="eastAsia" w:ascii="Times New Roman" w:hAnsi="Times New Roman" w:eastAsiaTheme="minorEastAsia"/>
          <w:color w:val="000000"/>
          <w:spacing w:val="1"/>
          <w:sz w:val="21"/>
          <w:szCs w:val="21"/>
          <w:highlight w:val="none"/>
          <w:shd w:val="clear" w:color="auto" w:fill="auto"/>
          <w:lang w:eastAsia="zh-CN"/>
        </w:rPr>
        <w:t>同类业绩界定：单项合同100万元及以上的酒店电视采购安装项目。</w:t>
      </w:r>
    </w:p>
    <w:p>
      <w:pPr>
        <w:pStyle w:val="107"/>
        <w:spacing w:before="0" w:after="0" w:line="360" w:lineRule="auto"/>
        <w:ind w:firstLine="428" w:firstLineChars="202"/>
        <w:jc w:val="left"/>
        <w:rPr>
          <w:rFonts w:ascii="Times New Roman" w:hAnsi="Times New Roman" w:eastAsiaTheme="minorEastAsia"/>
          <w:color w:val="000000"/>
          <w:spacing w:val="1"/>
          <w:sz w:val="21"/>
          <w:szCs w:val="21"/>
          <w:highlight w:val="none"/>
          <w:shd w:val="clear" w:color="auto" w:fill="auto"/>
          <w:lang w:eastAsia="zh-CN"/>
        </w:rPr>
      </w:pPr>
      <w:r>
        <w:rPr>
          <w:rFonts w:ascii="Times New Roman" w:hAnsi="Times New Roman" w:eastAsiaTheme="minorEastAsia"/>
          <w:color w:val="000000"/>
          <w:spacing w:val="1"/>
          <w:sz w:val="21"/>
          <w:szCs w:val="21"/>
          <w:highlight w:val="none"/>
          <w:shd w:val="clear" w:color="auto" w:fill="auto"/>
          <w:lang w:eastAsia="zh-CN"/>
        </w:rPr>
        <w:t>3.</w:t>
      </w:r>
      <w:r>
        <w:rPr>
          <w:rFonts w:hint="eastAsia" w:ascii="Times New Roman" w:hAnsi="Times New Roman" w:eastAsiaTheme="minorEastAsia"/>
          <w:color w:val="000000"/>
          <w:spacing w:val="1"/>
          <w:sz w:val="21"/>
          <w:szCs w:val="21"/>
          <w:highlight w:val="none"/>
          <w:shd w:val="clear" w:color="auto" w:fill="auto"/>
          <w:lang w:val="en-US" w:eastAsia="zh-CN"/>
        </w:rPr>
        <w:t>5</w:t>
      </w:r>
      <w:r>
        <w:rPr>
          <w:rFonts w:hint="eastAsia" w:ascii="Times New Roman" w:hAnsi="Times New Roman" w:eastAsiaTheme="minorEastAsia"/>
          <w:color w:val="000000"/>
          <w:spacing w:val="1"/>
          <w:sz w:val="21"/>
          <w:szCs w:val="21"/>
          <w:highlight w:val="none"/>
          <w:shd w:val="clear" w:color="auto" w:fill="auto"/>
          <w:lang w:eastAsia="zh-CN"/>
        </w:rPr>
        <w:t>本项目不接受联合体报价</w:t>
      </w:r>
      <w:r>
        <w:rPr>
          <w:rFonts w:ascii="Times New Roman" w:hAnsi="Times New Roman" w:eastAsiaTheme="minorEastAsia"/>
          <w:color w:val="000000"/>
          <w:spacing w:val="1"/>
          <w:sz w:val="21"/>
          <w:szCs w:val="21"/>
          <w:highlight w:val="none"/>
          <w:shd w:val="clear" w:color="auto" w:fill="auto"/>
          <w:lang w:eastAsia="zh-CN"/>
        </w:rPr>
        <w:t>。</w:t>
      </w:r>
      <w:bookmarkStart w:id="574" w:name="_GoBack"/>
      <w:bookmarkEnd w:id="574"/>
    </w:p>
    <w:p>
      <w:pPr>
        <w:widowControl/>
        <w:spacing w:beforeLines="50" w:afterLines="50" w:line="360" w:lineRule="auto"/>
        <w:outlineLvl w:val="1"/>
        <w:rPr>
          <w:rFonts w:ascii="Times New Roman" w:hAnsi="Times New Roman" w:eastAsia="黑体" w:cs="Times New Roman"/>
          <w:b/>
          <w:color w:val="000000"/>
          <w:spacing w:val="1"/>
          <w:sz w:val="28"/>
          <w:szCs w:val="28"/>
          <w:highlight w:val="none"/>
          <w:shd w:val="clear" w:color="auto" w:fill="auto"/>
        </w:rPr>
      </w:pPr>
      <w:bookmarkStart w:id="29" w:name="_Toc532388763"/>
      <w:bookmarkStart w:id="30" w:name="_Toc508806323"/>
      <w:bookmarkStart w:id="31" w:name="_Toc532285453"/>
      <w:bookmarkStart w:id="32" w:name="_Toc60646626"/>
      <w:bookmarkStart w:id="33" w:name="_Toc1754484"/>
      <w:r>
        <w:rPr>
          <w:rFonts w:ascii="Times New Roman" w:hAnsi="Times New Roman" w:eastAsia="黑体" w:cs="Times New Roman"/>
          <w:b/>
          <w:color w:val="000000"/>
          <w:spacing w:val="1"/>
          <w:sz w:val="28"/>
          <w:szCs w:val="28"/>
          <w:highlight w:val="none"/>
          <w:shd w:val="clear" w:color="auto" w:fill="auto"/>
        </w:rPr>
        <w:t>4.招标文件的获取</w:t>
      </w:r>
      <w:bookmarkEnd w:id="29"/>
      <w:bookmarkEnd w:id="30"/>
      <w:bookmarkEnd w:id="31"/>
      <w:bookmarkEnd w:id="32"/>
      <w:bookmarkEnd w:id="33"/>
    </w:p>
    <w:p>
      <w:pPr>
        <w:pStyle w:val="107"/>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4.1凡有意参加投标者，请于_</w:t>
      </w:r>
      <w:r>
        <w:rPr>
          <w:rFonts w:hint="eastAsia" w:ascii="Times New Roman" w:hAnsi="Times New Roman" w:eastAsiaTheme="minorEastAsia"/>
          <w:sz w:val="21"/>
          <w:szCs w:val="21"/>
          <w:highlight w:val="none"/>
          <w:shd w:val="clear" w:color="auto" w:fill="auto"/>
          <w:lang w:val="en-US" w:eastAsia="zh-CN"/>
        </w:rPr>
        <w:t>2021</w:t>
      </w:r>
      <w:r>
        <w:rPr>
          <w:rFonts w:ascii="Times New Roman" w:hAnsi="Times New Roman" w:eastAsiaTheme="minorEastAsia"/>
          <w:sz w:val="21"/>
          <w:szCs w:val="21"/>
          <w:highlight w:val="none"/>
          <w:shd w:val="clear" w:color="auto" w:fill="auto"/>
          <w:lang w:eastAsia="zh-CN"/>
        </w:rPr>
        <w:t>_年__</w:t>
      </w:r>
      <w:r>
        <w:rPr>
          <w:rFonts w:hint="eastAsia" w:ascii="Times New Roman" w:hAnsi="Times New Roman" w:eastAsiaTheme="minorEastAsia"/>
          <w:sz w:val="21"/>
          <w:szCs w:val="21"/>
          <w:highlight w:val="none"/>
          <w:shd w:val="clear" w:color="auto" w:fill="auto"/>
          <w:lang w:val="en-US" w:eastAsia="zh-CN"/>
        </w:rPr>
        <w:t>1</w:t>
      </w:r>
      <w:r>
        <w:rPr>
          <w:rFonts w:ascii="Times New Roman" w:hAnsi="Times New Roman" w:eastAsiaTheme="minorEastAsia"/>
          <w:sz w:val="21"/>
          <w:szCs w:val="21"/>
          <w:highlight w:val="none"/>
          <w:shd w:val="clear" w:color="auto" w:fill="auto"/>
          <w:lang w:eastAsia="zh-CN"/>
        </w:rPr>
        <w:t>_月_</w:t>
      </w:r>
      <w:r>
        <w:rPr>
          <w:rFonts w:hint="eastAsia" w:ascii="Times New Roman" w:hAnsi="Times New Roman" w:eastAsiaTheme="minorEastAsia"/>
          <w:sz w:val="21"/>
          <w:szCs w:val="21"/>
          <w:highlight w:val="none"/>
          <w:shd w:val="clear" w:color="auto" w:fill="auto"/>
          <w:lang w:val="en-US" w:eastAsia="zh-CN"/>
        </w:rPr>
        <w:t>13</w:t>
      </w:r>
      <w:r>
        <w:rPr>
          <w:rFonts w:ascii="Times New Roman" w:hAnsi="Times New Roman" w:eastAsiaTheme="minorEastAsia"/>
          <w:sz w:val="21"/>
          <w:szCs w:val="21"/>
          <w:highlight w:val="none"/>
          <w:shd w:val="clear" w:color="auto" w:fill="auto"/>
          <w:lang w:eastAsia="zh-CN"/>
        </w:rPr>
        <w:t>__日_</w:t>
      </w:r>
      <w:r>
        <w:rPr>
          <w:rFonts w:hint="eastAsia" w:ascii="Times New Roman" w:hAnsi="Times New Roman" w:eastAsiaTheme="minorEastAsia"/>
          <w:sz w:val="21"/>
          <w:szCs w:val="21"/>
          <w:highlight w:val="none"/>
          <w:shd w:val="clear" w:color="auto" w:fill="auto"/>
          <w:lang w:val="en-US" w:eastAsia="zh-CN"/>
        </w:rPr>
        <w:t>9</w:t>
      </w:r>
      <w:r>
        <w:rPr>
          <w:rFonts w:ascii="Times New Roman" w:hAnsi="Times New Roman" w:eastAsiaTheme="minorEastAsia"/>
          <w:sz w:val="21"/>
          <w:szCs w:val="21"/>
          <w:highlight w:val="none"/>
          <w:shd w:val="clear" w:color="auto" w:fill="auto"/>
          <w:lang w:eastAsia="zh-CN"/>
        </w:rPr>
        <w:t>__时至_</w:t>
      </w:r>
      <w:r>
        <w:rPr>
          <w:rFonts w:hint="eastAsia" w:ascii="Times New Roman" w:hAnsi="Times New Roman" w:eastAsiaTheme="minorEastAsia"/>
          <w:sz w:val="21"/>
          <w:szCs w:val="21"/>
          <w:highlight w:val="none"/>
          <w:shd w:val="clear" w:color="auto" w:fill="auto"/>
          <w:lang w:val="en-US" w:eastAsia="zh-CN"/>
        </w:rPr>
        <w:t>2021</w:t>
      </w:r>
      <w:r>
        <w:rPr>
          <w:rFonts w:ascii="Times New Roman" w:hAnsi="Times New Roman" w:eastAsiaTheme="minorEastAsia"/>
          <w:sz w:val="21"/>
          <w:szCs w:val="21"/>
          <w:highlight w:val="none"/>
          <w:shd w:val="clear" w:color="auto" w:fill="auto"/>
          <w:lang w:eastAsia="zh-CN"/>
        </w:rPr>
        <w:t>__年_</w:t>
      </w:r>
      <w:r>
        <w:rPr>
          <w:rFonts w:hint="eastAsia" w:ascii="Times New Roman" w:hAnsi="Times New Roman" w:eastAsiaTheme="minorEastAsia"/>
          <w:sz w:val="21"/>
          <w:szCs w:val="21"/>
          <w:highlight w:val="none"/>
          <w:shd w:val="clear" w:color="auto" w:fill="auto"/>
          <w:lang w:val="en-US" w:eastAsia="zh-CN"/>
        </w:rPr>
        <w:t>1</w:t>
      </w:r>
      <w:r>
        <w:rPr>
          <w:rFonts w:ascii="Times New Roman" w:hAnsi="Times New Roman" w:eastAsiaTheme="minorEastAsia"/>
          <w:sz w:val="21"/>
          <w:szCs w:val="21"/>
          <w:highlight w:val="none"/>
          <w:shd w:val="clear" w:color="auto" w:fill="auto"/>
          <w:lang w:eastAsia="zh-CN"/>
        </w:rPr>
        <w:t>__月_</w:t>
      </w:r>
      <w:r>
        <w:rPr>
          <w:rFonts w:hint="eastAsia" w:ascii="Times New Roman" w:hAnsi="Times New Roman" w:eastAsiaTheme="minorEastAsia"/>
          <w:sz w:val="21"/>
          <w:szCs w:val="21"/>
          <w:highlight w:val="none"/>
          <w:shd w:val="clear" w:color="auto" w:fill="auto"/>
          <w:lang w:val="en-US" w:eastAsia="zh-CN"/>
        </w:rPr>
        <w:t>19</w:t>
      </w:r>
      <w:r>
        <w:rPr>
          <w:rFonts w:ascii="Times New Roman" w:hAnsi="Times New Roman" w:eastAsiaTheme="minorEastAsia"/>
          <w:sz w:val="21"/>
          <w:szCs w:val="21"/>
          <w:highlight w:val="none"/>
          <w:shd w:val="clear" w:color="auto" w:fill="auto"/>
          <w:lang w:eastAsia="zh-CN"/>
        </w:rPr>
        <w:t>__日_</w:t>
      </w:r>
      <w:r>
        <w:rPr>
          <w:rFonts w:hint="eastAsia" w:ascii="Times New Roman" w:hAnsi="Times New Roman" w:eastAsiaTheme="minorEastAsia"/>
          <w:sz w:val="21"/>
          <w:szCs w:val="21"/>
          <w:highlight w:val="none"/>
          <w:shd w:val="clear" w:color="auto" w:fill="auto"/>
          <w:lang w:val="en-US" w:eastAsia="zh-CN"/>
        </w:rPr>
        <w:t>17</w:t>
      </w:r>
      <w:r>
        <w:rPr>
          <w:rFonts w:ascii="Times New Roman" w:hAnsi="Times New Roman" w:eastAsiaTheme="minorEastAsia"/>
          <w:sz w:val="21"/>
          <w:szCs w:val="21"/>
          <w:highlight w:val="none"/>
          <w:shd w:val="clear" w:color="auto" w:fill="auto"/>
          <w:lang w:eastAsia="zh-CN"/>
        </w:rPr>
        <w:t>__时（北京时间，下同），</w:t>
      </w:r>
      <w:r>
        <w:rPr>
          <w:rFonts w:ascii="Times New Roman" w:hAnsi="Times New Roman" w:eastAsiaTheme="minorEastAsia"/>
          <w:sz w:val="21"/>
          <w:szCs w:val="21"/>
          <w:highlight w:val="none"/>
          <w:shd w:val="clear" w:color="auto" w:fill="auto"/>
        </w:rPr>
        <w:t>在</w:t>
      </w:r>
      <w:r>
        <w:rPr>
          <w:rFonts w:hint="eastAsia" w:ascii="Times New Roman" w:hAnsi="Times New Roman" w:eastAsiaTheme="minorEastAsia"/>
          <w:sz w:val="21"/>
          <w:szCs w:val="21"/>
          <w:highlight w:val="none"/>
          <w:shd w:val="clear" w:color="auto" w:fill="auto"/>
        </w:rPr>
        <w:t>青岛国信发展(集团)有限责任公司</w:t>
      </w:r>
      <w:r>
        <w:rPr>
          <w:rFonts w:ascii="Times New Roman" w:hAnsi="Times New Roman" w:eastAsiaTheme="minorEastAsia"/>
          <w:sz w:val="21"/>
          <w:szCs w:val="21"/>
          <w:highlight w:val="none"/>
          <w:shd w:val="clear" w:color="auto" w:fill="auto"/>
        </w:rPr>
        <w:t>（</w:t>
      </w:r>
      <w:r>
        <w:rPr>
          <w:rFonts w:hint="eastAsia" w:ascii="Times New Roman" w:hAnsi="Times New Roman" w:eastAsiaTheme="minorEastAsia"/>
          <w:sz w:val="21"/>
          <w:szCs w:val="21"/>
          <w:highlight w:val="none"/>
          <w:shd w:val="clear" w:color="auto" w:fill="auto"/>
        </w:rPr>
        <w:t>国信</w:t>
      </w:r>
      <w:r>
        <w:rPr>
          <w:rFonts w:ascii="Times New Roman" w:hAnsi="Times New Roman" w:eastAsiaTheme="minorEastAsia"/>
          <w:sz w:val="21"/>
          <w:szCs w:val="21"/>
          <w:highlight w:val="none"/>
          <w:shd w:val="clear" w:color="auto" w:fill="auto"/>
        </w:rPr>
        <w:t>集团）</w:t>
      </w:r>
      <w:r>
        <w:rPr>
          <w:rFonts w:hint="eastAsia" w:ascii="Times New Roman" w:hAnsi="Times New Roman" w:eastAsiaTheme="minorEastAsia"/>
          <w:sz w:val="21"/>
          <w:szCs w:val="21"/>
          <w:highlight w:val="none"/>
          <w:shd w:val="clear" w:color="auto" w:fill="auto"/>
        </w:rPr>
        <w:t>电子招投标</w:t>
      </w:r>
      <w:r>
        <w:rPr>
          <w:rFonts w:ascii="Times New Roman" w:hAnsi="Times New Roman" w:eastAsiaTheme="minorEastAsia"/>
          <w:sz w:val="21"/>
          <w:szCs w:val="21"/>
          <w:highlight w:val="none"/>
          <w:shd w:val="clear" w:color="auto" w:fill="auto"/>
        </w:rPr>
        <w:t>采购平台</w:t>
      </w:r>
      <w:r>
        <w:rPr>
          <w:rFonts w:hint="eastAsia" w:ascii="Times New Roman" w:hAnsi="Times New Roman" w:eastAsiaTheme="minorEastAsia"/>
          <w:sz w:val="21"/>
          <w:szCs w:val="21"/>
          <w:highlight w:val="none"/>
          <w:shd w:val="clear" w:color="auto" w:fill="auto"/>
        </w:rPr>
        <w:t>（</w:t>
      </w:r>
      <w:r>
        <w:rPr>
          <w:highlight w:val="none"/>
          <w:shd w:val="clear" w:color="auto" w:fill="auto"/>
        </w:rPr>
        <w:fldChar w:fldCharType="begin"/>
      </w:r>
      <w:r>
        <w:rPr>
          <w:highlight w:val="none"/>
          <w:shd w:val="clear" w:color="auto" w:fill="auto"/>
        </w:rPr>
        <w:instrText xml:space="preserve"> HYPERLINK "http://eps.qdgxjt.com/cms/index.htm" </w:instrText>
      </w:r>
      <w:r>
        <w:rPr>
          <w:highlight w:val="none"/>
          <w:shd w:val="clear" w:color="auto" w:fill="auto"/>
        </w:rPr>
        <w:fldChar w:fldCharType="separate"/>
      </w:r>
      <w:r>
        <w:rPr>
          <w:rFonts w:ascii="Times New Roman" w:hAnsi="Times New Roman" w:eastAsiaTheme="minorEastAsia"/>
          <w:sz w:val="21"/>
          <w:szCs w:val="21"/>
          <w:highlight w:val="none"/>
          <w:shd w:val="clear" w:color="auto" w:fill="auto"/>
        </w:rPr>
        <w:t>http://eps.qdgxjt.com/cms/index.htm</w:t>
      </w:r>
      <w:r>
        <w:rPr>
          <w:rFonts w:ascii="Times New Roman" w:hAnsi="Times New Roman" w:eastAsiaTheme="minorEastAsia"/>
          <w:sz w:val="21"/>
          <w:szCs w:val="21"/>
          <w:highlight w:val="none"/>
          <w:shd w:val="clear" w:color="auto" w:fill="auto"/>
        </w:rPr>
        <w:fldChar w:fldCharType="end"/>
      </w:r>
      <w:r>
        <w:rPr>
          <w:rFonts w:hint="eastAsia" w:ascii="Times New Roman" w:hAnsi="Times New Roman" w:eastAsiaTheme="minorEastAsia"/>
          <w:sz w:val="21"/>
          <w:szCs w:val="21"/>
          <w:highlight w:val="none"/>
          <w:shd w:val="clear" w:color="auto" w:fill="auto"/>
        </w:rPr>
        <w:t>）</w:t>
      </w:r>
      <w:r>
        <w:rPr>
          <w:rFonts w:ascii="Times New Roman" w:hAnsi="Times New Roman" w:eastAsiaTheme="minorEastAsia"/>
          <w:sz w:val="21"/>
          <w:szCs w:val="21"/>
          <w:highlight w:val="none"/>
          <w:shd w:val="clear" w:color="auto" w:fill="auto"/>
        </w:rPr>
        <w:t>（以下简称“电子采购平台”）注册、购买、下载电子招标文件（不接受其他方式购买）。</w:t>
      </w:r>
    </w:p>
    <w:p>
      <w:pPr>
        <w:pStyle w:val="107"/>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4.2招标文件每套售价_</w:t>
      </w:r>
      <w:r>
        <w:rPr>
          <w:rFonts w:hint="eastAsia" w:ascii="Times New Roman" w:hAnsi="Times New Roman" w:eastAsiaTheme="minorEastAsia"/>
          <w:sz w:val="21"/>
          <w:szCs w:val="21"/>
          <w:highlight w:val="none"/>
          <w:shd w:val="clear" w:color="auto" w:fill="auto"/>
          <w:lang w:val="en-US" w:eastAsia="zh-CN"/>
        </w:rPr>
        <w:t>0</w:t>
      </w:r>
      <w:r>
        <w:rPr>
          <w:rFonts w:ascii="Times New Roman" w:hAnsi="Times New Roman" w:eastAsiaTheme="minorEastAsia"/>
          <w:sz w:val="21"/>
          <w:szCs w:val="21"/>
          <w:highlight w:val="none"/>
          <w:shd w:val="clear" w:color="auto" w:fill="auto"/>
          <w:lang w:eastAsia="zh-CN"/>
        </w:rPr>
        <w:t>__元，过时不售，售后不退。</w:t>
      </w:r>
    </w:p>
    <w:p>
      <w:pPr>
        <w:widowControl/>
        <w:spacing w:beforeLines="50" w:afterLines="50" w:line="360" w:lineRule="auto"/>
        <w:outlineLvl w:val="1"/>
        <w:rPr>
          <w:rFonts w:ascii="Times New Roman" w:hAnsi="Times New Roman" w:eastAsia="黑体" w:cs="Times New Roman"/>
          <w:b/>
          <w:color w:val="000000"/>
          <w:spacing w:val="1"/>
          <w:sz w:val="28"/>
          <w:szCs w:val="28"/>
          <w:highlight w:val="none"/>
          <w:shd w:val="clear" w:color="auto" w:fill="auto"/>
        </w:rPr>
      </w:pPr>
      <w:bookmarkStart w:id="34" w:name="_Toc532285454"/>
      <w:bookmarkStart w:id="35" w:name="_Toc508806324"/>
      <w:bookmarkStart w:id="36" w:name="_Toc60646627"/>
      <w:bookmarkStart w:id="37" w:name="_Toc532388764"/>
      <w:bookmarkStart w:id="38" w:name="_Toc1754485"/>
      <w:r>
        <w:rPr>
          <w:rFonts w:ascii="Times New Roman" w:hAnsi="Times New Roman" w:eastAsia="黑体" w:cs="Times New Roman"/>
          <w:b/>
          <w:color w:val="000000"/>
          <w:spacing w:val="1"/>
          <w:sz w:val="28"/>
          <w:szCs w:val="28"/>
          <w:highlight w:val="none"/>
          <w:shd w:val="clear" w:color="auto" w:fill="auto"/>
        </w:rPr>
        <w:t>5.投标文件的递交</w:t>
      </w:r>
      <w:bookmarkEnd w:id="34"/>
      <w:bookmarkEnd w:id="35"/>
      <w:bookmarkEnd w:id="36"/>
      <w:bookmarkEnd w:id="37"/>
      <w:bookmarkEnd w:id="38"/>
    </w:p>
    <w:p>
      <w:pPr>
        <w:pStyle w:val="107"/>
        <w:spacing w:before="0" w:after="0" w:line="360" w:lineRule="auto"/>
        <w:ind w:firstLine="384" w:firstLineChars="200"/>
        <w:jc w:val="left"/>
        <w:rPr>
          <w:rFonts w:ascii="Times New Roman" w:hAnsi="Times New Roman" w:eastAsiaTheme="minorEastAsia"/>
          <w:color w:val="000000"/>
          <w:spacing w:val="-9"/>
          <w:sz w:val="21"/>
          <w:szCs w:val="21"/>
          <w:highlight w:val="none"/>
          <w:shd w:val="clear" w:color="auto" w:fill="auto"/>
          <w:lang w:eastAsia="zh-CN"/>
        </w:rPr>
      </w:pPr>
      <w:r>
        <w:rPr>
          <w:rFonts w:ascii="Times New Roman" w:hAnsi="Times New Roman" w:eastAsiaTheme="minorEastAsia"/>
          <w:color w:val="000000"/>
          <w:spacing w:val="-9"/>
          <w:sz w:val="21"/>
          <w:szCs w:val="21"/>
          <w:highlight w:val="none"/>
          <w:shd w:val="clear" w:color="auto" w:fill="auto"/>
          <w:lang w:eastAsia="zh-CN"/>
        </w:rPr>
        <w:t>5.1投标文件递交的截止时间（投标截止时间，下同）为_</w:t>
      </w:r>
      <w:r>
        <w:rPr>
          <w:rFonts w:hint="eastAsia" w:ascii="Times New Roman" w:hAnsi="Times New Roman" w:eastAsiaTheme="minorEastAsia"/>
          <w:color w:val="000000"/>
          <w:spacing w:val="-9"/>
          <w:sz w:val="21"/>
          <w:szCs w:val="21"/>
          <w:highlight w:val="none"/>
          <w:shd w:val="clear" w:color="auto" w:fill="auto"/>
          <w:lang w:val="en-US" w:eastAsia="zh-CN"/>
        </w:rPr>
        <w:t>2021</w:t>
      </w:r>
      <w:r>
        <w:rPr>
          <w:rFonts w:ascii="Times New Roman" w:hAnsi="Times New Roman" w:eastAsiaTheme="minorEastAsia"/>
          <w:color w:val="000000"/>
          <w:spacing w:val="-9"/>
          <w:sz w:val="21"/>
          <w:szCs w:val="21"/>
          <w:highlight w:val="none"/>
          <w:shd w:val="clear" w:color="auto" w:fill="auto"/>
          <w:lang w:eastAsia="zh-CN"/>
        </w:rPr>
        <w:t>__年_</w:t>
      </w:r>
      <w:r>
        <w:rPr>
          <w:rFonts w:hint="eastAsia" w:ascii="Times New Roman" w:hAnsi="Times New Roman" w:eastAsiaTheme="minorEastAsia"/>
          <w:color w:val="000000"/>
          <w:spacing w:val="-9"/>
          <w:sz w:val="21"/>
          <w:szCs w:val="21"/>
          <w:highlight w:val="none"/>
          <w:shd w:val="clear" w:color="auto" w:fill="auto"/>
          <w:lang w:val="en-US" w:eastAsia="zh-CN"/>
        </w:rPr>
        <w:t>1</w:t>
      </w:r>
      <w:r>
        <w:rPr>
          <w:rFonts w:ascii="Times New Roman" w:hAnsi="Times New Roman" w:eastAsiaTheme="minorEastAsia"/>
          <w:color w:val="000000"/>
          <w:spacing w:val="-9"/>
          <w:sz w:val="21"/>
          <w:szCs w:val="21"/>
          <w:highlight w:val="none"/>
          <w:shd w:val="clear" w:color="auto" w:fill="auto"/>
          <w:lang w:eastAsia="zh-CN"/>
        </w:rPr>
        <w:t>__月__</w:t>
      </w:r>
      <w:r>
        <w:rPr>
          <w:rFonts w:hint="eastAsia" w:ascii="Times New Roman" w:hAnsi="Times New Roman" w:eastAsiaTheme="minorEastAsia"/>
          <w:color w:val="000000"/>
          <w:spacing w:val="-9"/>
          <w:sz w:val="21"/>
          <w:szCs w:val="21"/>
          <w:highlight w:val="none"/>
          <w:shd w:val="clear" w:color="auto" w:fill="auto"/>
          <w:lang w:val="en-US" w:eastAsia="zh-CN"/>
        </w:rPr>
        <w:t>20</w:t>
      </w:r>
      <w:r>
        <w:rPr>
          <w:rFonts w:ascii="Times New Roman" w:hAnsi="Times New Roman" w:eastAsiaTheme="minorEastAsia"/>
          <w:color w:val="000000"/>
          <w:spacing w:val="-9"/>
          <w:sz w:val="21"/>
          <w:szCs w:val="21"/>
          <w:highlight w:val="none"/>
          <w:shd w:val="clear" w:color="auto" w:fill="auto"/>
          <w:lang w:eastAsia="zh-CN"/>
        </w:rPr>
        <w:t>_日_</w:t>
      </w:r>
      <w:r>
        <w:rPr>
          <w:rFonts w:hint="eastAsia" w:ascii="Times New Roman" w:hAnsi="Times New Roman" w:eastAsiaTheme="minorEastAsia"/>
          <w:color w:val="000000"/>
          <w:spacing w:val="-9"/>
          <w:sz w:val="21"/>
          <w:szCs w:val="21"/>
          <w:highlight w:val="none"/>
          <w:shd w:val="clear" w:color="auto" w:fill="auto"/>
          <w:lang w:val="en-US" w:eastAsia="zh-CN"/>
        </w:rPr>
        <w:t>14</w:t>
      </w:r>
      <w:r>
        <w:rPr>
          <w:rFonts w:ascii="Times New Roman" w:hAnsi="Times New Roman" w:eastAsiaTheme="minorEastAsia"/>
          <w:color w:val="000000"/>
          <w:spacing w:val="-9"/>
          <w:sz w:val="21"/>
          <w:szCs w:val="21"/>
          <w:highlight w:val="none"/>
          <w:shd w:val="clear" w:color="auto" w:fill="auto"/>
          <w:lang w:eastAsia="zh-CN"/>
        </w:rPr>
        <w:t>_时；递交地点：电子采购平台。</w:t>
      </w:r>
    </w:p>
    <w:p>
      <w:pPr>
        <w:pStyle w:val="107"/>
        <w:spacing w:before="0" w:after="0" w:line="360" w:lineRule="auto"/>
        <w:ind w:firstLine="384" w:firstLineChars="200"/>
        <w:jc w:val="left"/>
        <w:rPr>
          <w:rFonts w:ascii="Times New Roman" w:hAnsi="Times New Roman" w:eastAsiaTheme="minorEastAsia"/>
          <w:color w:val="000000"/>
          <w:spacing w:val="-9"/>
          <w:sz w:val="21"/>
          <w:szCs w:val="21"/>
          <w:highlight w:val="none"/>
          <w:shd w:val="clear" w:color="auto" w:fill="auto"/>
          <w:lang w:eastAsia="zh-CN"/>
        </w:rPr>
      </w:pPr>
      <w:r>
        <w:rPr>
          <w:rFonts w:ascii="Times New Roman" w:hAnsi="Times New Roman" w:eastAsiaTheme="minorEastAsia"/>
          <w:color w:val="000000"/>
          <w:spacing w:val="-9"/>
          <w:sz w:val="21"/>
          <w:szCs w:val="21"/>
          <w:highlight w:val="none"/>
          <w:shd w:val="clear" w:color="auto" w:fill="auto"/>
          <w:lang w:eastAsia="zh-CN"/>
        </w:rPr>
        <w:t>5.2 逾期上传的投标文件，电子采购平台将予以拒收。</w:t>
      </w:r>
    </w:p>
    <w:p>
      <w:pPr>
        <w:pStyle w:val="107"/>
        <w:spacing w:before="0" w:after="0" w:line="360" w:lineRule="auto"/>
        <w:ind w:firstLine="386" w:firstLineChars="200"/>
        <w:jc w:val="left"/>
        <w:rPr>
          <w:rFonts w:ascii="Times New Roman" w:hAnsi="Times New Roman" w:eastAsiaTheme="minorEastAsia"/>
          <w:b/>
          <w:color w:val="000000"/>
          <w:spacing w:val="-9"/>
          <w:sz w:val="21"/>
          <w:szCs w:val="21"/>
          <w:highlight w:val="none"/>
          <w:shd w:val="clear" w:color="auto" w:fill="auto"/>
          <w:lang w:eastAsia="zh-CN"/>
        </w:rPr>
      </w:pPr>
      <w:r>
        <w:rPr>
          <w:rFonts w:ascii="Times New Roman" w:hAnsi="Times New Roman" w:eastAsiaTheme="minorEastAsia"/>
          <w:b/>
          <w:color w:val="000000"/>
          <w:spacing w:val="-9"/>
          <w:sz w:val="21"/>
          <w:szCs w:val="21"/>
          <w:highlight w:val="none"/>
          <w:shd w:val="clear" w:color="auto" w:fill="auto"/>
          <w:lang w:eastAsia="zh-CN"/>
        </w:rPr>
        <w:t>备注：建议投标人提前1天将投标文件加密上传，以避免由于CA过期未续办、操作不熟练等原因导致当天无法上传。</w:t>
      </w:r>
    </w:p>
    <w:p>
      <w:pPr>
        <w:widowControl/>
        <w:spacing w:before="0" w:after="0" w:line="360" w:lineRule="auto"/>
        <w:ind w:firstLine="422" w:firstLineChars="200"/>
        <w:jc w:val="left"/>
        <w:rPr>
          <w:rFonts w:ascii="Times New Roman" w:hAnsi="Times New Roman"/>
          <w:b/>
          <w:color w:val="000000"/>
          <w:spacing w:val="-9"/>
          <w:szCs w:val="21"/>
          <w:highlight w:val="none"/>
          <w:shd w:val="clear" w:color="auto" w:fill="auto"/>
        </w:rPr>
      </w:pPr>
      <w:r>
        <w:rPr>
          <w:rFonts w:hint="eastAsia" w:ascii="Times New Roman" w:hAnsi="Times New Roman" w:eastAsia="宋体" w:cs="Times New Roman"/>
          <w:b/>
          <w:color w:val="000000"/>
          <w:kern w:val="0"/>
          <w:szCs w:val="21"/>
          <w:highlight w:val="none"/>
          <w:shd w:val="clear" w:color="auto" w:fill="auto"/>
        </w:rPr>
        <w:t>建议投标人在递交投标文件前5天，完成CA的办结事项，因未及时完成CA办理，导致无法投标的投标人自行承担相关责任。</w:t>
      </w:r>
    </w:p>
    <w:p>
      <w:pPr>
        <w:widowControl/>
        <w:spacing w:beforeLines="50" w:afterLines="50" w:line="360" w:lineRule="auto"/>
        <w:outlineLvl w:val="1"/>
        <w:rPr>
          <w:rFonts w:ascii="Times New Roman" w:hAnsi="Times New Roman" w:eastAsia="黑体" w:cs="Times New Roman"/>
          <w:b/>
          <w:color w:val="000000"/>
          <w:spacing w:val="1"/>
          <w:sz w:val="28"/>
          <w:szCs w:val="28"/>
          <w:highlight w:val="none"/>
          <w:shd w:val="clear" w:color="auto" w:fill="auto"/>
        </w:rPr>
      </w:pPr>
      <w:bookmarkStart w:id="39" w:name="_Toc60646628"/>
      <w:bookmarkStart w:id="40" w:name="_Toc532285455"/>
      <w:bookmarkStart w:id="41" w:name="_Toc1754486"/>
      <w:bookmarkStart w:id="42" w:name="_Toc532388765"/>
      <w:bookmarkStart w:id="43" w:name="_Toc508806325"/>
      <w:r>
        <w:rPr>
          <w:rFonts w:ascii="Times New Roman" w:hAnsi="Times New Roman" w:eastAsia="黑体" w:cs="Times New Roman"/>
          <w:b/>
          <w:color w:val="000000"/>
          <w:spacing w:val="1"/>
          <w:sz w:val="28"/>
          <w:szCs w:val="28"/>
          <w:highlight w:val="none"/>
          <w:shd w:val="clear" w:color="auto" w:fill="auto"/>
        </w:rPr>
        <w:t>6.发布公告的媒介</w:t>
      </w:r>
      <w:bookmarkEnd w:id="39"/>
      <w:bookmarkEnd w:id="40"/>
      <w:bookmarkEnd w:id="41"/>
      <w:bookmarkEnd w:id="42"/>
      <w:bookmarkEnd w:id="43"/>
    </w:p>
    <w:p>
      <w:pPr>
        <w:wordWrap w:val="0"/>
        <w:spacing w:before="0" w:after="0" w:line="360" w:lineRule="auto"/>
        <w:ind w:firstLine="420" w:firstLineChars="200"/>
        <w:jc w:val="left"/>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本次招标公告同时在</w:t>
      </w:r>
      <w:r>
        <w:rPr>
          <w:rFonts w:hint="eastAsia" w:ascii="Times New Roman" w:hAnsi="Times New Roman" w:eastAsia="宋体" w:cs="Times New Roman"/>
          <w:kern w:val="0"/>
          <w:szCs w:val="21"/>
          <w:highlight w:val="none"/>
          <w:shd w:val="clear" w:color="auto" w:fill="auto"/>
        </w:rPr>
        <w:t>青岛国信发展(集团)有限责任公司</w:t>
      </w:r>
      <w:r>
        <w:rPr>
          <w:rFonts w:ascii="Times New Roman" w:hAnsi="Times New Roman" w:eastAsia="宋体" w:cs="Times New Roman"/>
          <w:kern w:val="0"/>
          <w:szCs w:val="21"/>
          <w:highlight w:val="none"/>
          <w:shd w:val="clear" w:color="auto" w:fill="auto"/>
        </w:rPr>
        <w:t>（</w:t>
      </w:r>
      <w:r>
        <w:rPr>
          <w:rFonts w:hint="eastAsia" w:ascii="Times New Roman" w:hAnsi="Times New Roman" w:eastAsia="宋体" w:cs="Times New Roman"/>
          <w:kern w:val="0"/>
          <w:szCs w:val="21"/>
          <w:highlight w:val="none"/>
          <w:shd w:val="clear" w:color="auto" w:fill="auto"/>
        </w:rPr>
        <w:t>国信</w:t>
      </w:r>
      <w:r>
        <w:rPr>
          <w:rFonts w:ascii="Times New Roman" w:hAnsi="Times New Roman" w:eastAsia="宋体" w:cs="Times New Roman"/>
          <w:kern w:val="0"/>
          <w:szCs w:val="21"/>
          <w:highlight w:val="none"/>
          <w:shd w:val="clear" w:color="auto" w:fill="auto"/>
        </w:rPr>
        <w:t>集团）</w:t>
      </w:r>
      <w:r>
        <w:rPr>
          <w:rFonts w:ascii="Times New Roman" w:hAnsi="Times New Roman" w:eastAsia="宋体" w:cs="Times New Roman"/>
          <w:color w:val="000000"/>
          <w:szCs w:val="21"/>
          <w:highlight w:val="none"/>
          <w:shd w:val="clear" w:color="auto" w:fill="auto"/>
        </w:rPr>
        <w:t>电子采购平台</w:t>
      </w:r>
      <w:r>
        <w:rPr>
          <w:rFonts w:hint="eastAsia" w:ascii="Times New Roman" w:hAnsi="Times New Roman" w:eastAsia="宋体" w:cs="Times New Roman"/>
          <w:color w:val="000000"/>
          <w:kern w:val="0"/>
          <w:szCs w:val="21"/>
          <w:highlight w:val="none"/>
          <w:shd w:val="clear" w:color="auto" w:fill="auto"/>
        </w:rPr>
        <w:t>（</w:t>
      </w:r>
      <w:r>
        <w:rPr>
          <w:highlight w:val="none"/>
          <w:shd w:val="clear" w:color="auto" w:fill="auto"/>
        </w:rPr>
        <w:fldChar w:fldCharType="begin"/>
      </w:r>
      <w:r>
        <w:rPr>
          <w:highlight w:val="none"/>
          <w:shd w:val="clear" w:color="auto" w:fill="auto"/>
        </w:rPr>
        <w:instrText xml:space="preserve"> HYPERLINK "http://eps.qdgxjt.com/cms/index.htm" </w:instrText>
      </w:r>
      <w:r>
        <w:rPr>
          <w:highlight w:val="none"/>
          <w:shd w:val="clear" w:color="auto" w:fill="auto"/>
        </w:rPr>
        <w:fldChar w:fldCharType="separate"/>
      </w:r>
      <w:r>
        <w:rPr>
          <w:rFonts w:ascii="Calibri" w:hAnsi="Calibri" w:eastAsia="宋体" w:cs="Times New Roman"/>
          <w:color w:val="000000"/>
          <w:highlight w:val="none"/>
          <w:u w:val="single"/>
          <w:shd w:val="clear" w:color="auto" w:fill="auto"/>
        </w:rPr>
        <w:t>http://eps.qdgxjt.com/cms/index.htm</w:t>
      </w:r>
      <w:r>
        <w:rPr>
          <w:rFonts w:ascii="Calibri" w:hAnsi="Calibri" w:eastAsia="宋体" w:cs="Times New Roman"/>
          <w:color w:val="000000"/>
          <w:highlight w:val="none"/>
          <w:u w:val="single"/>
          <w:shd w:val="clear" w:color="auto" w:fill="auto"/>
        </w:rPr>
        <w:fldChar w:fldCharType="end"/>
      </w:r>
      <w:r>
        <w:rPr>
          <w:rFonts w:hint="eastAsia" w:ascii="Times New Roman" w:hAnsi="Times New Roman" w:eastAsia="宋体" w:cs="Times New Roman"/>
          <w:color w:val="000000"/>
          <w:kern w:val="0"/>
          <w:szCs w:val="21"/>
          <w:highlight w:val="none"/>
          <w:shd w:val="clear" w:color="auto" w:fill="auto"/>
        </w:rPr>
        <w:t>）</w:t>
      </w:r>
      <w:r>
        <w:rPr>
          <w:rFonts w:ascii="Times New Roman" w:hAnsi="Times New Roman" w:cs="Times New Roman"/>
          <w:szCs w:val="21"/>
          <w:highlight w:val="none"/>
          <w:shd w:val="clear" w:color="auto" w:fill="auto"/>
        </w:rPr>
        <w:t>和中国招标投标公共服务平台（www.cebpubservice.com）上发布，对于因其他网站转载并发布的非完整版或修改版公告，而导致误报名或无效报名的情形，招标人及招标代理机构不予承担责任。</w:t>
      </w:r>
    </w:p>
    <w:p>
      <w:pPr>
        <w:widowControl/>
        <w:spacing w:beforeLines="50" w:afterLines="50" w:line="360" w:lineRule="auto"/>
        <w:outlineLvl w:val="1"/>
        <w:rPr>
          <w:rFonts w:ascii="Times New Roman" w:hAnsi="Times New Roman" w:eastAsia="黑体" w:cs="Times New Roman"/>
          <w:b/>
          <w:color w:val="000000"/>
          <w:spacing w:val="1"/>
          <w:sz w:val="28"/>
          <w:szCs w:val="28"/>
          <w:highlight w:val="none"/>
          <w:shd w:val="clear" w:color="auto" w:fill="auto"/>
        </w:rPr>
      </w:pPr>
      <w:bookmarkStart w:id="44" w:name="_Toc532388766"/>
      <w:bookmarkStart w:id="45" w:name="_Toc60646629"/>
      <w:bookmarkStart w:id="46" w:name="_Toc1754487"/>
      <w:r>
        <w:rPr>
          <w:rFonts w:ascii="Times New Roman" w:hAnsi="Times New Roman" w:eastAsia="黑体" w:cs="Times New Roman"/>
          <w:b/>
          <w:color w:val="000000"/>
          <w:spacing w:val="1"/>
          <w:sz w:val="28"/>
          <w:szCs w:val="28"/>
          <w:highlight w:val="none"/>
          <w:shd w:val="clear" w:color="auto" w:fill="auto"/>
        </w:rPr>
        <w:t>7.相关说明</w:t>
      </w:r>
      <w:bookmarkEnd w:id="44"/>
      <w:bookmarkEnd w:id="45"/>
      <w:bookmarkEnd w:id="46"/>
    </w:p>
    <w:p>
      <w:pPr>
        <w:pStyle w:val="15"/>
        <w:spacing w:before="0" w:after="0"/>
        <w:ind w:firstLine="482" w:firstLineChars="200"/>
        <w:rPr>
          <w:rFonts w:ascii="Times New Roman" w:hAnsi="Times New Roman" w:eastAsia="黑体" w:cs="Times New Roman"/>
          <w:b/>
          <w:szCs w:val="24"/>
          <w:highlight w:val="none"/>
          <w:shd w:val="clear" w:color="auto" w:fill="auto"/>
        </w:rPr>
      </w:pPr>
      <w:r>
        <w:rPr>
          <w:rFonts w:ascii="Times New Roman" w:hAnsi="Times New Roman" w:eastAsia="黑体" w:cs="Times New Roman"/>
          <w:b/>
          <w:szCs w:val="24"/>
          <w:highlight w:val="none"/>
          <w:shd w:val="clear" w:color="auto" w:fill="auto"/>
        </w:rPr>
        <w:t>7.1注册</w:t>
      </w:r>
    </w:p>
    <w:p>
      <w:pPr>
        <w:pStyle w:val="40"/>
        <w:spacing w:before="0" w:after="0" w:line="360" w:lineRule="auto"/>
        <w:ind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投标人登录</w:t>
      </w:r>
      <w:r>
        <w:rPr>
          <w:rFonts w:ascii="Times New Roman" w:hAnsi="Times New Roman" w:cs="Times New Roman"/>
          <w:color w:val="000000"/>
          <w:spacing w:val="-9"/>
          <w:szCs w:val="21"/>
          <w:highlight w:val="none"/>
          <w:shd w:val="clear" w:color="auto" w:fill="auto"/>
        </w:rPr>
        <w:t>电子采购平台</w:t>
      </w:r>
      <w:r>
        <w:rPr>
          <w:rFonts w:ascii="Times New Roman" w:hAnsi="Times New Roman" w:cs="Times New Roman"/>
          <w:szCs w:val="21"/>
          <w:highlight w:val="none"/>
          <w:shd w:val="clear" w:color="auto" w:fill="auto"/>
        </w:rPr>
        <w:t>填写企业信息，提交注册，审核情况将在24小时内（不含法定节假日）进行反馈，审核通过的投标人方可购买招标文件，请合理安排注册时间。</w:t>
      </w:r>
    </w:p>
    <w:p>
      <w:pPr>
        <w:pStyle w:val="15"/>
        <w:spacing w:before="0" w:after="0"/>
        <w:ind w:firstLine="482" w:firstLineChars="200"/>
        <w:rPr>
          <w:rFonts w:ascii="Times New Roman" w:hAnsi="Times New Roman" w:eastAsia="黑体" w:cs="Times New Roman"/>
          <w:b/>
          <w:szCs w:val="24"/>
          <w:highlight w:val="none"/>
          <w:shd w:val="clear" w:color="auto" w:fill="auto"/>
        </w:rPr>
      </w:pPr>
      <w:r>
        <w:rPr>
          <w:rFonts w:ascii="Times New Roman" w:hAnsi="Times New Roman" w:eastAsia="黑体" w:cs="Times New Roman"/>
          <w:b/>
          <w:szCs w:val="24"/>
          <w:highlight w:val="none"/>
          <w:shd w:val="clear" w:color="auto" w:fill="auto"/>
        </w:rPr>
        <w:t>7.2标书款支付</w:t>
      </w:r>
      <w:r>
        <w:rPr>
          <w:rFonts w:hint="eastAsia" w:ascii="Times New Roman" w:hAnsi="Times New Roman" w:eastAsia="黑体" w:cs="Times New Roman"/>
          <w:b/>
          <w:szCs w:val="24"/>
          <w:highlight w:val="none"/>
          <w:shd w:val="clear" w:color="auto" w:fill="auto"/>
        </w:rPr>
        <w:t>（如有）</w:t>
      </w:r>
    </w:p>
    <w:p>
      <w:pPr>
        <w:pStyle w:val="40"/>
        <w:spacing w:before="0" w:after="0" w:line="360" w:lineRule="auto"/>
        <w:ind w:firstLineChars="200"/>
        <w:rPr>
          <w:szCs w:val="21"/>
          <w:highlight w:val="none"/>
          <w:shd w:val="clear" w:color="auto" w:fill="auto"/>
        </w:rPr>
      </w:pPr>
      <w:r>
        <w:rPr>
          <w:szCs w:val="21"/>
          <w:highlight w:val="none"/>
          <w:shd w:val="clear" w:color="auto" w:fill="auto"/>
        </w:rPr>
        <w:t>注册成功，投标人登录</w:t>
      </w:r>
      <w:r>
        <w:rPr>
          <w:spacing w:val="-9"/>
          <w:szCs w:val="21"/>
          <w:highlight w:val="none"/>
          <w:shd w:val="clear" w:color="auto" w:fill="auto"/>
        </w:rPr>
        <w:t>电子采购平台</w:t>
      </w:r>
      <w:r>
        <w:rPr>
          <w:szCs w:val="21"/>
          <w:highlight w:val="none"/>
          <w:shd w:val="clear" w:color="auto" w:fill="auto"/>
        </w:rPr>
        <w:t>，在【项目管理】→【购买文件】选择对应标段进行网上支付，不接受线下支付；标书款发票为增值税电子普通发票，请投标人于购买标书5日后在【项目管理】→【购买记录查看】中自行下载、打印。</w:t>
      </w:r>
    </w:p>
    <w:p>
      <w:pPr>
        <w:pStyle w:val="15"/>
        <w:spacing w:before="0" w:after="0"/>
        <w:ind w:firstLine="482" w:firstLineChars="200"/>
        <w:rPr>
          <w:rFonts w:ascii="Times New Roman" w:hAnsi="Times New Roman" w:eastAsia="黑体" w:cs="Times New Roman"/>
          <w:b/>
          <w:szCs w:val="24"/>
          <w:highlight w:val="none"/>
          <w:shd w:val="clear" w:color="auto" w:fill="auto"/>
        </w:rPr>
      </w:pPr>
      <w:r>
        <w:rPr>
          <w:rFonts w:ascii="Times New Roman" w:hAnsi="Times New Roman" w:eastAsia="黑体" w:cs="Times New Roman"/>
          <w:b/>
          <w:szCs w:val="24"/>
          <w:highlight w:val="none"/>
          <w:shd w:val="clear" w:color="auto" w:fill="auto"/>
        </w:rPr>
        <w:t>7.3 文件下载</w:t>
      </w:r>
    </w:p>
    <w:p>
      <w:pPr>
        <w:pStyle w:val="40"/>
        <w:spacing w:before="0" w:after="0" w:line="360" w:lineRule="auto"/>
        <w:ind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标书款支付成功后，即视为招标文件已售出，投标人可在【项目管理】→【文件下载】自行下载招标文件电子版，招标方不再提供纸质招标文件。</w:t>
      </w:r>
    </w:p>
    <w:p>
      <w:pPr>
        <w:pStyle w:val="15"/>
        <w:spacing w:before="0" w:after="0"/>
        <w:ind w:firstLine="482" w:firstLineChars="200"/>
        <w:rPr>
          <w:rFonts w:ascii="Times New Roman" w:hAnsi="Times New Roman" w:eastAsia="黑体" w:cs="Times New Roman"/>
          <w:b/>
          <w:szCs w:val="24"/>
          <w:highlight w:val="none"/>
          <w:shd w:val="clear" w:color="auto" w:fill="auto"/>
        </w:rPr>
      </w:pPr>
      <w:r>
        <w:rPr>
          <w:rFonts w:ascii="Times New Roman" w:hAnsi="Times New Roman" w:eastAsia="黑体" w:cs="Times New Roman"/>
          <w:b/>
          <w:szCs w:val="24"/>
          <w:highlight w:val="none"/>
          <w:shd w:val="clear" w:color="auto" w:fill="auto"/>
        </w:rPr>
        <w:t>7.4 CA办理</w:t>
      </w:r>
    </w:p>
    <w:p>
      <w:pPr>
        <w:pStyle w:val="40"/>
        <w:spacing w:before="0" w:after="0" w:line="360" w:lineRule="auto"/>
        <w:ind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CA数字证书为投标人参与投标的必备身份证明，用于投标文件的签章、加解密。在递交投标文件前，须在电子采购平台通过账号登录，进入【系统管理】→【绑定CA证书】菜单完成CA的绑定。</w:t>
      </w:r>
    </w:p>
    <w:p>
      <w:pPr>
        <w:pStyle w:val="40"/>
        <w:spacing w:before="0" w:after="0" w:line="360" w:lineRule="auto"/>
        <w:ind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首次办理CA的投标人须按照电子采购平台门户网站（http://eps.sdic.com.cn）【帮助中心】→【操作指南】“投标人/供应商采购平台CA数字证书业务办理指南”进行线上办理，已办理CA的投标人请注意使用时效，已过期的须及时完成续期办理。</w:t>
      </w:r>
    </w:p>
    <w:p>
      <w:pPr>
        <w:pStyle w:val="40"/>
        <w:spacing w:before="0" w:after="0" w:line="360" w:lineRule="auto"/>
        <w:ind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请投标人至少在投标文件递交截止时间7个工作日前递交CA申办资料，逾期导致投标文件递交不成功的，其后果由投标人自行承担。</w:t>
      </w:r>
    </w:p>
    <w:p>
      <w:pPr>
        <w:pStyle w:val="15"/>
        <w:spacing w:before="0" w:after="0"/>
        <w:ind w:firstLine="482" w:firstLineChars="200"/>
        <w:rPr>
          <w:rFonts w:ascii="Times New Roman" w:hAnsi="Times New Roman" w:eastAsia="黑体" w:cs="Times New Roman"/>
          <w:b/>
          <w:szCs w:val="24"/>
          <w:highlight w:val="none"/>
          <w:shd w:val="clear" w:color="auto" w:fill="auto"/>
        </w:rPr>
      </w:pPr>
      <w:r>
        <w:rPr>
          <w:rFonts w:ascii="Times New Roman" w:hAnsi="Times New Roman" w:eastAsia="黑体" w:cs="Times New Roman"/>
          <w:b/>
          <w:szCs w:val="24"/>
          <w:highlight w:val="none"/>
          <w:shd w:val="clear" w:color="auto" w:fill="auto"/>
        </w:rPr>
        <w:t>7.5 帮助</w:t>
      </w:r>
    </w:p>
    <w:p>
      <w:pPr>
        <w:pStyle w:val="40"/>
        <w:spacing w:before="0" w:after="0" w:line="360" w:lineRule="auto"/>
        <w:ind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如需帮助，请登录电子采购平台网站首页【帮助中心】-【操作指南】。</w:t>
      </w:r>
    </w:p>
    <w:p>
      <w:pPr>
        <w:pStyle w:val="15"/>
        <w:spacing w:before="0" w:after="0"/>
        <w:ind w:firstLine="482" w:firstLineChars="200"/>
        <w:rPr>
          <w:rFonts w:ascii="Times New Roman" w:hAnsi="Times New Roman" w:eastAsia="黑体" w:cs="Times New Roman"/>
          <w:b/>
          <w:szCs w:val="24"/>
          <w:highlight w:val="none"/>
          <w:shd w:val="clear" w:color="auto" w:fill="auto"/>
        </w:rPr>
      </w:pPr>
      <w:r>
        <w:rPr>
          <w:rFonts w:ascii="Times New Roman" w:hAnsi="Times New Roman" w:eastAsia="黑体" w:cs="Times New Roman"/>
          <w:b/>
          <w:szCs w:val="24"/>
          <w:highlight w:val="none"/>
          <w:shd w:val="clear" w:color="auto" w:fill="auto"/>
        </w:rPr>
        <w:t>7.6 其他</w:t>
      </w:r>
    </w:p>
    <w:p>
      <w:pPr>
        <w:pStyle w:val="107"/>
        <w:spacing w:before="0" w:after="0" w:line="360" w:lineRule="auto"/>
        <w:ind w:firstLine="420" w:firstLineChars="200"/>
        <w:rPr>
          <w:rFonts w:ascii="Times New Roman" w:hAnsi="Times New Roman" w:eastAsiaTheme="minorEastAsia"/>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本次招标活动所有信息发布和联络以投标注册时填写的信息为准，投标人应对填写的所有信息的真实性和准确性负责，并自行承担信息有误导致的一切后果。</w:t>
      </w:r>
    </w:p>
    <w:p>
      <w:pPr>
        <w:widowControl/>
        <w:spacing w:beforeLines="50" w:afterLines="50" w:line="360" w:lineRule="auto"/>
        <w:outlineLvl w:val="1"/>
        <w:rPr>
          <w:rFonts w:ascii="Times New Roman" w:hAnsi="Times New Roman" w:eastAsia="黑体" w:cs="Times New Roman"/>
          <w:b/>
          <w:color w:val="000000"/>
          <w:spacing w:val="1"/>
          <w:sz w:val="28"/>
          <w:szCs w:val="28"/>
          <w:highlight w:val="none"/>
          <w:shd w:val="clear" w:color="auto" w:fill="auto"/>
        </w:rPr>
      </w:pPr>
      <w:bookmarkStart w:id="47" w:name="_Toc532285456"/>
      <w:bookmarkStart w:id="48" w:name="_Toc60646630"/>
      <w:bookmarkStart w:id="49" w:name="_Toc532388767"/>
      <w:bookmarkStart w:id="50" w:name="_Toc1754488"/>
      <w:r>
        <w:rPr>
          <w:rFonts w:ascii="Times New Roman" w:hAnsi="Times New Roman" w:eastAsia="黑体" w:cs="Times New Roman"/>
          <w:b/>
          <w:color w:val="000000"/>
          <w:spacing w:val="1"/>
          <w:sz w:val="28"/>
          <w:szCs w:val="28"/>
          <w:highlight w:val="none"/>
          <w:shd w:val="clear" w:color="auto" w:fill="auto"/>
        </w:rPr>
        <w:t>8.联系方式</w:t>
      </w:r>
      <w:bookmarkEnd w:id="47"/>
      <w:bookmarkEnd w:id="48"/>
      <w:bookmarkEnd w:id="49"/>
      <w:bookmarkEnd w:id="50"/>
    </w:p>
    <w:p>
      <w:pPr>
        <w:pStyle w:val="15"/>
        <w:spacing w:before="0" w:after="0"/>
        <w:ind w:firstLine="482" w:firstLineChars="200"/>
        <w:rPr>
          <w:rFonts w:ascii="Times New Roman" w:hAnsi="Times New Roman" w:eastAsia="黑体"/>
          <w:b/>
          <w:szCs w:val="24"/>
          <w:highlight w:val="none"/>
          <w:shd w:val="clear" w:color="auto" w:fill="auto"/>
        </w:rPr>
      </w:pPr>
      <w:r>
        <w:rPr>
          <w:rFonts w:ascii="Times New Roman" w:hAnsi="Times New Roman" w:eastAsia="黑体"/>
          <w:b/>
          <w:szCs w:val="24"/>
          <w:highlight w:val="none"/>
          <w:shd w:val="clear" w:color="auto" w:fill="auto"/>
        </w:rPr>
        <w:t>8.1招标人联系方式</w:t>
      </w:r>
    </w:p>
    <w:p>
      <w:pPr>
        <w:pStyle w:val="30"/>
        <w:spacing w:before="0" w:after="0" w:line="360" w:lineRule="auto"/>
        <w:ind w:left="0" w:firstLine="420" w:firstLineChars="200"/>
        <w:rPr>
          <w:szCs w:val="21"/>
          <w:highlight w:val="none"/>
          <w:shd w:val="clear" w:color="auto" w:fill="auto"/>
        </w:rPr>
      </w:pPr>
      <w:r>
        <w:rPr>
          <w:szCs w:val="21"/>
          <w:highlight w:val="none"/>
          <w:shd w:val="clear" w:color="auto" w:fill="auto"/>
        </w:rPr>
        <w:t>招 标 人：</w:t>
      </w:r>
      <w:r>
        <w:rPr>
          <w:rFonts w:hint="eastAsia"/>
          <w:szCs w:val="21"/>
          <w:highlight w:val="none"/>
          <w:shd w:val="clear" w:color="auto" w:fill="auto"/>
        </w:rPr>
        <w:t>青岛国信财富发展中心建设有限公司</w:t>
      </w:r>
    </w:p>
    <w:p>
      <w:pPr>
        <w:pStyle w:val="30"/>
        <w:spacing w:before="0" w:after="0" w:line="360" w:lineRule="auto"/>
        <w:ind w:left="0" w:firstLine="420" w:firstLineChars="200"/>
        <w:rPr>
          <w:szCs w:val="21"/>
          <w:highlight w:val="none"/>
          <w:shd w:val="clear" w:color="auto" w:fill="auto"/>
        </w:rPr>
      </w:pPr>
      <w:r>
        <w:rPr>
          <w:szCs w:val="21"/>
          <w:highlight w:val="none"/>
          <w:shd w:val="clear" w:color="auto" w:fill="auto"/>
        </w:rPr>
        <w:t>联 系 人：</w:t>
      </w:r>
      <w:r>
        <w:rPr>
          <w:rFonts w:hint="eastAsia"/>
          <w:szCs w:val="21"/>
          <w:highlight w:val="none"/>
          <w:shd w:val="clear" w:color="auto" w:fill="auto"/>
        </w:rPr>
        <w:t>李杰</w:t>
      </w:r>
    </w:p>
    <w:p>
      <w:pPr>
        <w:pStyle w:val="30"/>
        <w:spacing w:before="0" w:after="0" w:line="360" w:lineRule="auto"/>
        <w:ind w:left="0" w:firstLine="420" w:firstLineChars="200"/>
        <w:rPr>
          <w:szCs w:val="21"/>
          <w:highlight w:val="none"/>
          <w:u w:val="single"/>
          <w:shd w:val="clear" w:color="auto" w:fill="auto"/>
        </w:rPr>
      </w:pPr>
      <w:r>
        <w:rPr>
          <w:szCs w:val="21"/>
          <w:highlight w:val="none"/>
          <w:shd w:val="clear" w:color="auto" w:fill="auto"/>
        </w:rPr>
        <w:t>联系电话：</w:t>
      </w:r>
      <w:r>
        <w:rPr>
          <w:rFonts w:hint="eastAsia" w:ascii="仿宋" w:hAnsi="仿宋" w:eastAsia="仿宋" w:cs="仿宋"/>
          <w:szCs w:val="21"/>
          <w:highlight w:val="none"/>
          <w:shd w:val="clear" w:color="auto" w:fill="auto"/>
        </w:rPr>
        <w:t>0532-58783581</w:t>
      </w:r>
    </w:p>
    <w:p>
      <w:pPr>
        <w:pStyle w:val="30"/>
        <w:spacing w:before="0" w:after="0" w:line="360" w:lineRule="auto"/>
        <w:ind w:left="0" w:firstLine="420" w:firstLineChars="200"/>
        <w:rPr>
          <w:szCs w:val="21"/>
          <w:highlight w:val="none"/>
          <w:u w:val="single"/>
          <w:shd w:val="clear" w:color="auto" w:fill="auto"/>
        </w:rPr>
      </w:pPr>
      <w:r>
        <w:rPr>
          <w:szCs w:val="21"/>
          <w:highlight w:val="none"/>
          <w:shd w:val="clear" w:color="auto" w:fill="auto"/>
        </w:rPr>
        <w:t>地    址：</w:t>
      </w:r>
      <w:r>
        <w:rPr>
          <w:rFonts w:hint="eastAsia" w:ascii="仿宋" w:hAnsi="仿宋" w:eastAsia="仿宋" w:cs="仿宋"/>
          <w:szCs w:val="21"/>
          <w:highlight w:val="none"/>
          <w:shd w:val="clear" w:color="auto" w:fill="auto"/>
        </w:rPr>
        <w:t>lijie@qdgxjt.com</w:t>
      </w:r>
    </w:p>
    <w:p>
      <w:pPr>
        <w:pStyle w:val="15"/>
        <w:spacing w:before="0" w:after="0"/>
        <w:ind w:firstLine="482" w:firstLineChars="200"/>
        <w:rPr>
          <w:rFonts w:ascii="Times New Roman" w:hAnsi="Times New Roman" w:eastAsia="黑体"/>
          <w:b/>
          <w:szCs w:val="24"/>
          <w:highlight w:val="none"/>
          <w:shd w:val="clear" w:color="auto" w:fill="auto"/>
        </w:rPr>
      </w:pPr>
      <w:r>
        <w:rPr>
          <w:rFonts w:ascii="Times New Roman" w:hAnsi="Times New Roman" w:eastAsia="黑体"/>
          <w:b/>
          <w:szCs w:val="24"/>
          <w:highlight w:val="none"/>
          <w:shd w:val="clear" w:color="auto" w:fill="auto"/>
        </w:rPr>
        <w:t>8.2招标代理机构联系方式</w:t>
      </w:r>
    </w:p>
    <w:p>
      <w:pPr>
        <w:spacing w:before="0" w:after="0" w:line="360" w:lineRule="auto"/>
        <w:ind w:firstLine="420" w:firstLineChars="200"/>
        <w:contextualSpacing/>
        <w:rPr>
          <w:rFonts w:ascii="Times New Roman" w:hAnsi="Times New Roman"/>
          <w:szCs w:val="21"/>
          <w:highlight w:val="none"/>
          <w:shd w:val="clear" w:color="auto" w:fill="auto"/>
        </w:rPr>
      </w:pPr>
      <w:r>
        <w:rPr>
          <w:rFonts w:ascii="Times New Roman" w:hAnsi="Times New Roman"/>
          <w:szCs w:val="21"/>
          <w:highlight w:val="none"/>
          <w:shd w:val="clear" w:color="auto" w:fill="auto"/>
        </w:rPr>
        <w:t>招标代理机构：</w:t>
      </w:r>
      <w:r>
        <w:rPr>
          <w:rFonts w:hint="eastAsia" w:ascii="Times New Roman" w:hAnsi="Times New Roman"/>
          <w:szCs w:val="21"/>
          <w:highlight w:val="none"/>
          <w:shd w:val="clear" w:color="auto" w:fill="auto"/>
        </w:rPr>
        <w:t>山东世元工程管理有限公司</w:t>
      </w:r>
      <w:r>
        <w:rPr>
          <w:rFonts w:hint="eastAsia" w:ascii="Times New Roman" w:hAnsi="Times New Roman"/>
          <w:szCs w:val="21"/>
          <w:highlight w:val="none"/>
          <w:shd w:val="clear" w:color="auto" w:fill="auto"/>
        </w:rPr>
        <w:tab/>
      </w:r>
    </w:p>
    <w:p>
      <w:pPr>
        <w:pStyle w:val="30"/>
        <w:spacing w:before="0" w:after="0" w:line="360" w:lineRule="auto"/>
        <w:ind w:left="0" w:firstLine="420" w:firstLineChars="200"/>
        <w:rPr>
          <w:szCs w:val="21"/>
          <w:highlight w:val="none"/>
          <w:shd w:val="clear" w:color="auto" w:fill="auto"/>
        </w:rPr>
      </w:pPr>
      <w:r>
        <w:rPr>
          <w:szCs w:val="21"/>
          <w:highlight w:val="none"/>
          <w:shd w:val="clear" w:color="auto" w:fill="auto"/>
        </w:rPr>
        <w:t>联 系 人：</w:t>
      </w:r>
      <w:r>
        <w:rPr>
          <w:rFonts w:hint="eastAsia"/>
          <w:szCs w:val="21"/>
          <w:highlight w:val="none"/>
          <w:shd w:val="clear" w:color="auto" w:fill="auto"/>
        </w:rPr>
        <w:t>刘桐僮</w:t>
      </w:r>
    </w:p>
    <w:p>
      <w:pPr>
        <w:pStyle w:val="30"/>
        <w:spacing w:before="0" w:after="0" w:line="360" w:lineRule="auto"/>
        <w:ind w:left="0" w:firstLine="420" w:firstLineChars="200"/>
        <w:rPr>
          <w:szCs w:val="21"/>
          <w:highlight w:val="none"/>
          <w:u w:val="single"/>
          <w:shd w:val="clear" w:color="auto" w:fill="auto"/>
        </w:rPr>
      </w:pPr>
      <w:r>
        <w:rPr>
          <w:szCs w:val="21"/>
          <w:highlight w:val="none"/>
          <w:shd w:val="clear" w:color="auto" w:fill="auto"/>
        </w:rPr>
        <w:t>座    机：</w:t>
      </w:r>
      <w:r>
        <w:rPr>
          <w:rFonts w:hint="eastAsia"/>
          <w:szCs w:val="21"/>
          <w:highlight w:val="none"/>
          <w:shd w:val="clear" w:color="auto" w:fill="auto"/>
        </w:rPr>
        <w:t>0532-88900858</w:t>
      </w:r>
    </w:p>
    <w:p>
      <w:pPr>
        <w:pStyle w:val="30"/>
        <w:spacing w:before="0" w:after="0" w:line="360" w:lineRule="auto"/>
        <w:ind w:left="0" w:firstLine="420" w:firstLineChars="200"/>
        <w:rPr>
          <w:szCs w:val="21"/>
          <w:highlight w:val="none"/>
          <w:u w:val="single"/>
          <w:shd w:val="clear" w:color="auto" w:fill="auto"/>
        </w:rPr>
      </w:pPr>
      <w:r>
        <w:rPr>
          <w:szCs w:val="21"/>
          <w:highlight w:val="none"/>
          <w:shd w:val="clear" w:color="auto" w:fill="auto"/>
        </w:rPr>
        <w:t>手    机：</w:t>
      </w:r>
      <w:r>
        <w:rPr>
          <w:rFonts w:hint="eastAsia"/>
          <w:szCs w:val="21"/>
          <w:highlight w:val="none"/>
          <w:shd w:val="clear" w:color="auto" w:fill="auto"/>
        </w:rPr>
        <w:t>15315508961</w:t>
      </w:r>
    </w:p>
    <w:p>
      <w:pPr>
        <w:pStyle w:val="30"/>
        <w:spacing w:before="0" w:after="0" w:line="360" w:lineRule="auto"/>
        <w:ind w:left="0" w:firstLine="420" w:firstLineChars="200"/>
        <w:rPr>
          <w:szCs w:val="21"/>
          <w:highlight w:val="none"/>
          <w:shd w:val="clear" w:color="auto" w:fill="auto"/>
        </w:rPr>
      </w:pPr>
      <w:r>
        <w:rPr>
          <w:szCs w:val="21"/>
          <w:highlight w:val="none"/>
          <w:shd w:val="clear" w:color="auto" w:fill="auto"/>
        </w:rPr>
        <w:t>邮    箱：</w:t>
      </w:r>
      <w:r>
        <w:rPr>
          <w:rFonts w:hint="eastAsia"/>
          <w:szCs w:val="21"/>
          <w:highlight w:val="none"/>
          <w:shd w:val="clear" w:color="auto" w:fill="auto"/>
        </w:rPr>
        <w:t>shiyuan_ltt@163.com</w:t>
      </w:r>
    </w:p>
    <w:p>
      <w:pPr>
        <w:pStyle w:val="30"/>
        <w:spacing w:before="0" w:after="0" w:line="360" w:lineRule="auto"/>
        <w:ind w:left="0" w:firstLine="420" w:firstLineChars="200"/>
        <w:rPr>
          <w:rFonts w:ascii="Times New Roman" w:hAnsi="Times New Roman"/>
          <w:szCs w:val="21"/>
          <w:highlight w:val="none"/>
          <w:shd w:val="clear" w:color="auto" w:fill="auto"/>
        </w:rPr>
      </w:pPr>
      <w:r>
        <w:rPr>
          <w:rFonts w:ascii="Times New Roman" w:hAnsi="Times New Roman"/>
          <w:szCs w:val="21"/>
          <w:highlight w:val="none"/>
          <w:shd w:val="clear" w:color="auto" w:fill="auto"/>
        </w:rPr>
        <w:t>地    址：</w:t>
      </w:r>
      <w:r>
        <w:rPr>
          <w:rFonts w:hint="eastAsia" w:ascii="Times New Roman" w:hAnsi="Times New Roman"/>
          <w:szCs w:val="21"/>
          <w:highlight w:val="none"/>
          <w:shd w:val="clear" w:color="auto" w:fill="auto"/>
        </w:rPr>
        <w:t>青岛市市南区宁夏路288号（市南软件园）1号楼23层</w:t>
      </w:r>
    </w:p>
    <w:p>
      <w:pPr>
        <w:pStyle w:val="30"/>
        <w:spacing w:before="0" w:after="0" w:line="360" w:lineRule="auto"/>
        <w:ind w:left="0" w:firstLine="422" w:firstLineChars="200"/>
        <w:rPr>
          <w:rFonts w:ascii="Times New Roman" w:hAnsi="Times New Roman"/>
          <w:b/>
          <w:szCs w:val="21"/>
          <w:highlight w:val="none"/>
          <w:shd w:val="clear" w:color="auto" w:fill="auto"/>
        </w:rPr>
      </w:pPr>
      <w:r>
        <w:rPr>
          <w:rFonts w:ascii="Times New Roman" w:hAnsi="Times New Roman"/>
          <w:b/>
          <w:szCs w:val="21"/>
          <w:highlight w:val="none"/>
          <w:shd w:val="clear" w:color="auto" w:fill="auto"/>
        </w:rPr>
        <w:t>备注：负责解释招标文件内容的相关事宜，电话无法接通时，可邮件咨询。</w:t>
      </w:r>
    </w:p>
    <w:p>
      <w:pPr>
        <w:pStyle w:val="15"/>
        <w:spacing w:before="0" w:after="0"/>
        <w:ind w:firstLine="482" w:firstLineChars="200"/>
        <w:rPr>
          <w:rFonts w:ascii="Times New Roman" w:hAnsi="Times New Roman" w:eastAsia="黑体"/>
          <w:b/>
          <w:szCs w:val="24"/>
          <w:highlight w:val="none"/>
          <w:shd w:val="clear" w:color="auto" w:fill="auto"/>
        </w:rPr>
      </w:pPr>
      <w:r>
        <w:rPr>
          <w:rFonts w:ascii="Times New Roman" w:hAnsi="Times New Roman" w:eastAsia="黑体"/>
          <w:b/>
          <w:szCs w:val="24"/>
          <w:highlight w:val="none"/>
          <w:shd w:val="clear" w:color="auto" w:fill="auto"/>
        </w:rPr>
        <w:t>8.3 电子采购平台联系方式</w:t>
      </w:r>
    </w:p>
    <w:p>
      <w:pPr>
        <w:pStyle w:val="30"/>
        <w:spacing w:before="0" w:after="0" w:line="360" w:lineRule="auto"/>
        <w:ind w:left="0" w:firstLine="420" w:firstLineChars="200"/>
        <w:rPr>
          <w:rFonts w:ascii="Times New Roman" w:hAnsi="Times New Roman"/>
          <w:szCs w:val="21"/>
          <w:highlight w:val="none"/>
          <w:shd w:val="clear" w:color="auto" w:fill="auto"/>
        </w:rPr>
      </w:pPr>
      <w:r>
        <w:rPr>
          <w:rFonts w:ascii="Times New Roman" w:hAnsi="Times New Roman"/>
          <w:szCs w:val="21"/>
          <w:highlight w:val="none"/>
          <w:shd w:val="clear" w:color="auto" w:fill="auto"/>
        </w:rPr>
        <w:t xml:space="preserve">平台客服电话: </w:t>
      </w:r>
      <w:r>
        <w:rPr>
          <w:rFonts w:hint="eastAsia" w:ascii="Times New Roman" w:hAnsi="Times New Roman"/>
          <w:szCs w:val="21"/>
          <w:highlight w:val="none"/>
          <w:shd w:val="clear" w:color="auto" w:fill="auto"/>
        </w:rPr>
        <w:t xml:space="preserve"> 0532-8309-3759</w:t>
      </w:r>
    </w:p>
    <w:p>
      <w:pPr>
        <w:widowControl/>
        <w:rPr>
          <w:rFonts w:ascii="Times New Roman" w:hAnsi="Times New Roman" w:cs="Times New Roman"/>
          <w:szCs w:val="21"/>
          <w:highlight w:val="none"/>
          <w:shd w:val="clear" w:color="auto" w:fill="auto"/>
        </w:rPr>
      </w:pPr>
      <w:r>
        <w:rPr>
          <w:rFonts w:ascii="Times New Roman" w:hAnsi="Times New Roman"/>
          <w:b/>
          <w:szCs w:val="21"/>
          <w:highlight w:val="none"/>
          <w:shd w:val="clear" w:color="auto" w:fill="auto"/>
        </w:rPr>
        <w:t xml:space="preserve">备注：负责解释平台注册、标书及CA购买、文件关联上传、客户端等操作事宜。   </w:t>
      </w:r>
      <w:r>
        <w:rPr>
          <w:rFonts w:ascii="Times New Roman" w:hAnsi="Times New Roman" w:cs="Times New Roman"/>
          <w:szCs w:val="21"/>
          <w:highlight w:val="none"/>
          <w:shd w:val="clear" w:color="auto" w:fill="auto"/>
        </w:rPr>
        <w:br w:type="page"/>
      </w:r>
    </w:p>
    <w:p>
      <w:pPr>
        <w:spacing w:before="0" w:after="0" w:line="360" w:lineRule="auto"/>
        <w:ind w:firstLine="420" w:firstLineChars="200"/>
        <w:rPr>
          <w:rFonts w:ascii="Times New Roman" w:hAnsi="Times New Roman" w:cs="Times New Roman"/>
          <w:szCs w:val="21"/>
          <w:highlight w:val="none"/>
          <w:shd w:val="clear" w:color="auto" w:fill="auto"/>
        </w:rPr>
      </w:pPr>
    </w:p>
    <w:p>
      <w:pPr>
        <w:topLinePunct/>
        <w:spacing w:line="360" w:lineRule="auto"/>
        <w:ind w:firstLine="420" w:firstLineChars="200"/>
        <w:jc w:val="right"/>
        <w:rPr>
          <w:rFonts w:ascii="Times New Roman" w:hAnsi="Times New Roman" w:cs="Times New Roman"/>
          <w:highlight w:val="none"/>
          <w:shd w:val="clear" w:color="auto" w:fill="auto"/>
        </w:rPr>
      </w:pPr>
    </w:p>
    <w:p>
      <w:pPr>
        <w:topLinePunct/>
        <w:spacing w:line="360" w:lineRule="auto"/>
        <w:ind w:firstLine="420" w:firstLineChars="200"/>
        <w:jc w:val="right"/>
        <w:rPr>
          <w:rFonts w:ascii="Times New Roman" w:hAnsi="Times New Roman" w:cs="Times New Roman"/>
          <w:highlight w:val="none"/>
          <w:shd w:val="clear" w:color="auto" w:fill="auto"/>
        </w:rPr>
      </w:pPr>
    </w:p>
    <w:p>
      <w:pPr>
        <w:topLinePunct/>
        <w:spacing w:line="360" w:lineRule="auto"/>
        <w:ind w:firstLine="420" w:firstLineChars="200"/>
        <w:jc w:val="right"/>
        <w:rPr>
          <w:rFonts w:ascii="Times New Roman" w:hAnsi="Times New Roman" w:cs="Times New Roman"/>
          <w:highlight w:val="none"/>
          <w:shd w:val="clear" w:color="auto" w:fill="auto"/>
        </w:rPr>
      </w:pPr>
    </w:p>
    <w:p>
      <w:pPr>
        <w:topLinePunct/>
        <w:spacing w:line="360" w:lineRule="auto"/>
        <w:ind w:firstLine="420" w:firstLineChars="200"/>
        <w:jc w:val="right"/>
        <w:rPr>
          <w:rFonts w:ascii="Times New Roman" w:hAnsi="Times New Roman" w:cs="Times New Roman"/>
          <w:highlight w:val="none"/>
          <w:shd w:val="clear" w:color="auto" w:fill="auto"/>
        </w:rPr>
      </w:pPr>
    </w:p>
    <w:p>
      <w:pPr>
        <w:topLinePunct/>
        <w:spacing w:line="360" w:lineRule="auto"/>
        <w:ind w:firstLine="420" w:firstLineChars="200"/>
        <w:jc w:val="right"/>
        <w:rPr>
          <w:rFonts w:ascii="Times New Roman" w:hAnsi="Times New Roman" w:cs="Times New Roman"/>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bookmarkStart w:id="51" w:name="_Toc508806335"/>
      <w:bookmarkStart w:id="52" w:name="_Toc532285458"/>
      <w:bookmarkStart w:id="53" w:name="_Toc532388768"/>
      <w:bookmarkStart w:id="54" w:name="_Toc60646631"/>
      <w:bookmarkStart w:id="55" w:name="_Toc499646496"/>
      <w:r>
        <w:rPr>
          <w:rFonts w:ascii="Times New Roman" w:hAnsi="Times New Roman" w:eastAsia="黑体" w:cs="Times New Roman"/>
          <w:b/>
          <w:sz w:val="44"/>
          <w:szCs w:val="44"/>
          <w:highlight w:val="none"/>
          <w:shd w:val="clear" w:color="auto" w:fill="auto"/>
        </w:rPr>
        <w:t>第二章 投标人须知</w:t>
      </w:r>
      <w:bookmarkEnd w:id="51"/>
      <w:r>
        <w:rPr>
          <w:rFonts w:ascii="Times New Roman" w:hAnsi="Times New Roman" w:eastAsia="黑体" w:cs="Times New Roman"/>
          <w:b/>
          <w:sz w:val="44"/>
          <w:szCs w:val="44"/>
          <w:highlight w:val="none"/>
          <w:shd w:val="clear" w:color="auto" w:fill="auto"/>
        </w:rPr>
        <w:t>及前附表</w:t>
      </w:r>
      <w:bookmarkEnd w:id="52"/>
      <w:bookmarkEnd w:id="53"/>
      <w:bookmarkEnd w:id="54"/>
    </w:p>
    <w:p>
      <w:pPr>
        <w:pStyle w:val="107"/>
        <w:spacing w:before="0" w:after="0"/>
        <w:jc w:val="center"/>
        <w:outlineLvl w:val="1"/>
        <w:rPr>
          <w:rFonts w:ascii="Times New Roman" w:hAnsi="Times New Roman" w:eastAsia="黑体"/>
          <w:b/>
          <w:spacing w:val="1"/>
          <w:sz w:val="32"/>
          <w:szCs w:val="32"/>
          <w:highlight w:val="none"/>
          <w:shd w:val="clear" w:color="auto" w:fill="auto"/>
          <w:lang w:eastAsia="zh-CN"/>
        </w:rPr>
      </w:pPr>
      <w:r>
        <w:rPr>
          <w:rFonts w:ascii="Times New Roman" w:hAnsi="Times New Roman" w:eastAsiaTheme="minorEastAsia"/>
          <w:b/>
          <w:highlight w:val="none"/>
          <w:shd w:val="clear" w:color="auto" w:fill="auto"/>
          <w:lang w:eastAsia="zh-CN"/>
        </w:rPr>
        <w:br w:type="page"/>
      </w:r>
      <w:bookmarkStart w:id="56" w:name="_Toc508806336"/>
      <w:bookmarkStart w:id="57" w:name="_Toc532285459"/>
      <w:bookmarkStart w:id="58" w:name="_Toc60646632"/>
      <w:bookmarkStart w:id="59" w:name="_Toc532388769"/>
      <w:r>
        <w:rPr>
          <w:rFonts w:ascii="Times New Roman" w:hAnsi="Times New Roman" w:eastAsia="黑体"/>
          <w:b/>
          <w:spacing w:val="1"/>
          <w:sz w:val="32"/>
          <w:szCs w:val="32"/>
          <w:highlight w:val="none"/>
          <w:shd w:val="clear" w:color="auto" w:fill="auto"/>
          <w:lang w:eastAsia="zh-CN"/>
        </w:rPr>
        <w:t>投标人须知前附表</w:t>
      </w:r>
      <w:bookmarkEnd w:id="55"/>
      <w:bookmarkEnd w:id="56"/>
      <w:bookmarkEnd w:id="57"/>
      <w:bookmarkEnd w:id="58"/>
      <w:bookmarkEnd w:id="59"/>
    </w:p>
    <w:tbl>
      <w:tblPr>
        <w:tblStyle w:val="42"/>
        <w:tblW w:w="5230"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335"/>
        <w:gridCol w:w="1995"/>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9" w:type="pct"/>
            <w:vAlign w:val="center"/>
          </w:tcPr>
          <w:p>
            <w:pPr>
              <w:spacing w:before="0" w:after="0"/>
              <w:jc w:val="center"/>
              <w:rPr>
                <w:rFonts w:ascii="宋体" w:hAnsi="宋体" w:eastAsia="宋体" w:cs="Times New Roman"/>
                <w:b/>
                <w:szCs w:val="21"/>
                <w:highlight w:val="none"/>
                <w:shd w:val="clear" w:color="auto" w:fill="auto"/>
              </w:rPr>
            </w:pPr>
            <w:r>
              <w:rPr>
                <w:rFonts w:ascii="宋体" w:hAnsi="宋体" w:eastAsia="宋体" w:cs="Times New Roman"/>
                <w:b/>
                <w:szCs w:val="21"/>
                <w:highlight w:val="none"/>
                <w:shd w:val="clear" w:color="auto" w:fill="auto"/>
              </w:rPr>
              <w:t>条款号</w:t>
            </w:r>
          </w:p>
        </w:tc>
        <w:tc>
          <w:tcPr>
            <w:tcW w:w="1714" w:type="pct"/>
            <w:gridSpan w:val="2"/>
            <w:vAlign w:val="center"/>
          </w:tcPr>
          <w:p>
            <w:pPr>
              <w:spacing w:before="0" w:after="0"/>
              <w:jc w:val="center"/>
              <w:rPr>
                <w:rFonts w:ascii="宋体" w:hAnsi="宋体" w:eastAsia="宋体" w:cs="Times New Roman"/>
                <w:b/>
                <w:szCs w:val="21"/>
                <w:highlight w:val="none"/>
                <w:shd w:val="clear" w:color="auto" w:fill="auto"/>
              </w:rPr>
            </w:pPr>
            <w:r>
              <w:rPr>
                <w:rFonts w:ascii="宋体" w:hAnsi="宋体" w:eastAsia="宋体" w:cs="Times New Roman"/>
                <w:b/>
                <w:szCs w:val="21"/>
                <w:highlight w:val="none"/>
                <w:shd w:val="clear" w:color="auto" w:fill="auto"/>
              </w:rPr>
              <w:t>条款名称</w:t>
            </w:r>
          </w:p>
        </w:tc>
        <w:tc>
          <w:tcPr>
            <w:tcW w:w="2857" w:type="pct"/>
            <w:vAlign w:val="center"/>
          </w:tcPr>
          <w:p>
            <w:pPr>
              <w:spacing w:before="0" w:after="0"/>
              <w:jc w:val="center"/>
              <w:rPr>
                <w:rFonts w:ascii="宋体" w:hAnsi="宋体" w:eastAsia="宋体" w:cs="Times New Roman"/>
                <w:b/>
                <w:szCs w:val="21"/>
                <w:highlight w:val="none"/>
                <w:shd w:val="clear" w:color="auto" w:fill="auto"/>
              </w:rPr>
            </w:pPr>
            <w:r>
              <w:rPr>
                <w:rFonts w:ascii="宋体" w:hAnsi="宋体" w:eastAsia="宋体" w:cs="Times New Roman"/>
                <w:b/>
                <w:szCs w:val="21"/>
                <w:highlight w:val="none"/>
                <w:shd w:val="clear" w:color="auto" w:fil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1.1.2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招标人</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1.1.3</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招标代理机构</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1.1.4</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招标项目名称</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1.1.5</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color w:val="000000"/>
                <w:highlight w:val="none"/>
                <w:shd w:val="clear" w:color="auto" w:fill="auto"/>
              </w:rPr>
              <w:t>工程项目名称</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1.2.1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资金来源及比例</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1.2.2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资金落实情况</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1.3.1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招标范围</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1.3.2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交货期</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1.3.3</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交货地点</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1.3.4</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质量标准</w:t>
            </w:r>
          </w:p>
        </w:tc>
        <w:tc>
          <w:tcPr>
            <w:tcW w:w="2857" w:type="pct"/>
            <w:vAlign w:val="center"/>
          </w:tcPr>
          <w:p>
            <w:pPr>
              <w:topLinePunct/>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■合格</w:t>
            </w:r>
          </w:p>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□其他：__________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1.4.1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投标人资质条件、能力和信誉</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1.4.2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是否接受联合体投标</w:t>
            </w:r>
          </w:p>
        </w:tc>
        <w:tc>
          <w:tcPr>
            <w:tcW w:w="2857" w:type="pct"/>
            <w:vAlign w:val="center"/>
          </w:tcPr>
          <w:p>
            <w:pPr>
              <w:topLinePunct/>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■不接受</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□接受，应满足下列要求：</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（5）尽管委任了联合体牵头人，但联合体各成员在投标、签订合同与履行合同过程中，仍负有连带的和各自的法律责任；</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（6）其他要求：</w:t>
            </w:r>
            <w:r>
              <w:rPr>
                <w:rFonts w:ascii="宋体" w:hAnsi="宋体" w:eastAsia="宋体" w:cs="Times New Roman"/>
                <w:szCs w:val="21"/>
                <w:highlight w:val="none"/>
                <w:u w:val="single"/>
                <w:shd w:val="clear" w:color="auto" w:fill="auto"/>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1.4.3</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投标人不得存在的情形</w:t>
            </w:r>
          </w:p>
        </w:tc>
        <w:tc>
          <w:tcPr>
            <w:tcW w:w="2857" w:type="pct"/>
            <w:vAlign w:val="center"/>
          </w:tcPr>
          <w:p>
            <w:pPr>
              <w:topLinePunct/>
              <w:spacing w:before="0" w:after="0"/>
              <w:rPr>
                <w:rFonts w:ascii="宋体" w:hAnsi="宋体" w:eastAsia="宋体" w:cs="Times New Roman"/>
                <w:i/>
                <w:szCs w:val="21"/>
                <w:highlight w:val="none"/>
                <w:shd w:val="clear" w:color="auto" w:fill="auto"/>
              </w:rPr>
            </w:pPr>
            <w:r>
              <w:rPr>
                <w:rFonts w:ascii="宋体" w:hAnsi="宋体" w:eastAsia="宋体" w:cs="Times New Roman"/>
                <w:szCs w:val="21"/>
                <w:highlight w:val="none"/>
                <w:shd w:val="clear" w:color="auto" w:fill="auto"/>
              </w:rPr>
              <w:t>在近三年内投标人或其法定代表人、拟委任的项目负责人有行贿犯罪行为。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1.9.1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投标预备会</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■不召开</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□召开，召开时间：</w:t>
            </w:r>
            <w:r>
              <w:rPr>
                <w:rFonts w:ascii="宋体" w:hAnsi="宋体" w:eastAsia="宋体" w:cs="Times New Roman"/>
                <w:szCs w:val="21"/>
                <w:highlight w:val="none"/>
                <w:u w:val="single"/>
                <w:shd w:val="clear" w:color="auto" w:fill="auto"/>
              </w:rPr>
              <w:t xml:space="preserve">  /  </w:t>
            </w:r>
          </w:p>
          <w:p>
            <w:pPr>
              <w:spacing w:before="0" w:after="0"/>
              <w:ind w:firstLine="840" w:firstLineChars="40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召开地点：</w:t>
            </w:r>
            <w:r>
              <w:rPr>
                <w:rFonts w:ascii="宋体" w:hAnsi="宋体" w:eastAsia="宋体" w:cs="Times New Roman"/>
                <w:szCs w:val="21"/>
                <w:highlight w:val="none"/>
                <w:u w:val="single"/>
                <w:shd w:val="clear" w:color="auto" w:fill="auto"/>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1.9.2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投标人提出问题的截止时间和形式</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时间：</w:t>
            </w:r>
            <w:r>
              <w:rPr>
                <w:rFonts w:ascii="宋体" w:hAnsi="宋体" w:eastAsia="宋体" w:cs="Times New Roman"/>
                <w:szCs w:val="21"/>
                <w:highlight w:val="none"/>
                <w:u w:val="single"/>
                <w:shd w:val="clear" w:color="auto" w:fill="auto"/>
              </w:rPr>
              <w:t xml:space="preserve">  /  </w:t>
            </w:r>
            <w:r>
              <w:rPr>
                <w:rFonts w:ascii="宋体" w:hAnsi="宋体" w:eastAsia="宋体" w:cs="Times New Roman"/>
                <w:szCs w:val="21"/>
                <w:highlight w:val="none"/>
                <w:shd w:val="clear" w:color="auto" w:fill="auto"/>
              </w:rPr>
              <w:t>形式：通过电子采购平台发出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1.9.3</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招标人书面澄清的时间和形式</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时间：</w:t>
            </w:r>
            <w:r>
              <w:rPr>
                <w:rFonts w:ascii="宋体" w:hAnsi="宋体" w:eastAsia="宋体" w:cs="Times New Roman"/>
                <w:szCs w:val="21"/>
                <w:highlight w:val="none"/>
                <w:u w:val="single"/>
                <w:shd w:val="clear" w:color="auto" w:fill="auto"/>
              </w:rPr>
              <w:t xml:space="preserve">  /  </w:t>
            </w:r>
            <w:r>
              <w:rPr>
                <w:rFonts w:ascii="宋体" w:hAnsi="宋体" w:eastAsia="宋体" w:cs="Times New Roman"/>
                <w:szCs w:val="21"/>
                <w:highlight w:val="none"/>
                <w:shd w:val="clear" w:color="auto" w:fill="auto"/>
              </w:rPr>
              <w:t>形式：通过电子采购平台发出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1.10.1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分包</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■不允许</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□允许，分包内容要求：</w:t>
            </w:r>
            <w:r>
              <w:rPr>
                <w:rFonts w:ascii="宋体" w:hAnsi="宋体" w:eastAsia="宋体" w:cs="Times New Roman"/>
                <w:szCs w:val="21"/>
                <w:highlight w:val="none"/>
                <w:u w:val="single"/>
                <w:shd w:val="clear" w:color="auto" w:fill="auto"/>
              </w:rPr>
              <w:t xml:space="preserve">  /  </w:t>
            </w:r>
          </w:p>
          <w:p>
            <w:pPr>
              <w:spacing w:before="0" w:after="0"/>
              <w:ind w:firstLine="735" w:firstLineChars="35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分包金额要求：</w:t>
            </w:r>
            <w:r>
              <w:rPr>
                <w:rFonts w:ascii="宋体" w:hAnsi="宋体" w:eastAsia="宋体" w:cs="Times New Roman"/>
                <w:szCs w:val="21"/>
                <w:highlight w:val="none"/>
                <w:u w:val="single"/>
                <w:shd w:val="clear" w:color="auto" w:fill="auto"/>
              </w:rPr>
              <w:t xml:space="preserve">  /  </w:t>
            </w:r>
          </w:p>
          <w:p>
            <w:pPr>
              <w:spacing w:before="0" w:after="0"/>
              <w:ind w:firstLine="735" w:firstLineChars="350"/>
              <w:jc w:val="left"/>
              <w:rPr>
                <w:rFonts w:ascii="宋体" w:hAnsi="宋体" w:eastAsia="宋体" w:cs="Times New Roman"/>
                <w:b/>
                <w:szCs w:val="21"/>
                <w:highlight w:val="none"/>
                <w:shd w:val="clear" w:color="auto" w:fill="auto"/>
              </w:rPr>
            </w:pPr>
            <w:r>
              <w:rPr>
                <w:rFonts w:ascii="宋体" w:hAnsi="宋体" w:eastAsia="宋体" w:cs="Times New Roman"/>
                <w:szCs w:val="21"/>
                <w:highlight w:val="none"/>
                <w:shd w:val="clear" w:color="auto" w:fill="auto"/>
              </w:rPr>
              <w:t>对分包人的资质要求：</w:t>
            </w:r>
            <w:r>
              <w:rPr>
                <w:rFonts w:ascii="宋体" w:hAnsi="宋体" w:eastAsia="宋体" w:cs="Times New Roman"/>
                <w:szCs w:val="21"/>
                <w:highlight w:val="none"/>
                <w:u w:val="single"/>
                <w:shd w:val="clear" w:color="auto" w:fill="auto"/>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1.11.1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实质性要求和条件</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详见第五章供货要求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1.11.3</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其他可以被接受的技术支持资料</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Cs w:val="21"/>
                <w:highlight w:val="none"/>
                <w:u w:val="single"/>
                <w:shd w:val="clear" w:color="auto" w:fill="auto"/>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1.11.4</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偏差</w:t>
            </w:r>
          </w:p>
        </w:tc>
        <w:tc>
          <w:tcPr>
            <w:tcW w:w="2857" w:type="pct"/>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□不允许</w:t>
            </w:r>
          </w:p>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■允许，投标人提出的偏差，如存在重大偏差，评标委员会将有权否决其投标。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2.1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构成招标文件的其他资料</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招标文件附件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Merge w:val="restar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2.2.1</w:t>
            </w:r>
          </w:p>
        </w:tc>
        <w:tc>
          <w:tcPr>
            <w:tcW w:w="1714" w:type="pct"/>
            <w:gridSpan w:val="2"/>
            <w:vMerge w:val="restar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投标人要求澄清招标文件</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时间：</w:t>
            </w:r>
            <w:r>
              <w:rPr>
                <w:rFonts w:ascii="宋体" w:hAnsi="宋体" w:eastAsia="宋体" w:cs="Times New Roman"/>
                <w:szCs w:val="21"/>
                <w:highlight w:val="none"/>
                <w:u w:val="single"/>
                <w:shd w:val="clear" w:color="auto" w:fill="auto"/>
              </w:rPr>
              <w:t xml:space="preserve"> </w:t>
            </w:r>
            <w:r>
              <w:rPr>
                <w:rFonts w:hint="eastAsia" w:ascii="宋体" w:hAnsi="宋体" w:eastAsia="宋体" w:cs="Times New Roman"/>
                <w:szCs w:val="21"/>
                <w:highlight w:val="none"/>
                <w:u w:val="single"/>
                <w:shd w:val="clear" w:color="auto" w:fill="auto"/>
                <w:lang w:val="en-US" w:eastAsia="zh-CN"/>
              </w:rPr>
              <w:t>2021</w:t>
            </w:r>
            <w:r>
              <w:rPr>
                <w:rFonts w:ascii="宋体" w:hAnsi="宋体" w:eastAsia="宋体" w:cs="Times New Roman"/>
                <w:szCs w:val="21"/>
                <w:highlight w:val="none"/>
                <w:u w:val="single"/>
                <w:shd w:val="clear" w:color="auto" w:fill="auto"/>
              </w:rPr>
              <w:t xml:space="preserve">   </w:t>
            </w:r>
            <w:r>
              <w:rPr>
                <w:rFonts w:hint="eastAsia" w:ascii="宋体" w:hAnsi="宋体" w:eastAsia="宋体" w:cs="Times New Roman"/>
                <w:szCs w:val="21"/>
                <w:highlight w:val="none"/>
                <w:shd w:val="clear" w:color="auto" w:fill="auto"/>
              </w:rPr>
              <w:t>年</w:t>
            </w:r>
            <w:r>
              <w:rPr>
                <w:rFonts w:ascii="宋体" w:hAnsi="宋体" w:eastAsia="宋体" w:cs="Times New Roman"/>
                <w:szCs w:val="21"/>
                <w:highlight w:val="none"/>
                <w:u w:val="single"/>
                <w:shd w:val="clear" w:color="auto" w:fill="auto"/>
              </w:rPr>
              <w:t xml:space="preserve"> </w:t>
            </w:r>
            <w:r>
              <w:rPr>
                <w:rFonts w:hint="eastAsia" w:ascii="宋体" w:hAnsi="宋体" w:eastAsia="宋体" w:cs="Times New Roman"/>
                <w:szCs w:val="21"/>
                <w:highlight w:val="none"/>
                <w:u w:val="single"/>
                <w:shd w:val="clear" w:color="auto" w:fill="auto"/>
                <w:lang w:val="en-US" w:eastAsia="zh-CN"/>
              </w:rPr>
              <w:t>1</w:t>
            </w:r>
            <w:r>
              <w:rPr>
                <w:rFonts w:ascii="宋体" w:hAnsi="宋体" w:eastAsia="宋体" w:cs="Times New Roman"/>
                <w:szCs w:val="21"/>
                <w:highlight w:val="none"/>
                <w:u w:val="single"/>
                <w:shd w:val="clear" w:color="auto" w:fill="auto"/>
              </w:rPr>
              <w:t xml:space="preserve">  </w:t>
            </w:r>
            <w:r>
              <w:rPr>
                <w:rFonts w:hint="eastAsia" w:ascii="宋体" w:hAnsi="宋体" w:eastAsia="宋体" w:cs="Times New Roman"/>
                <w:szCs w:val="21"/>
                <w:highlight w:val="none"/>
                <w:shd w:val="clear" w:color="auto" w:fill="auto"/>
              </w:rPr>
              <w:t>月</w:t>
            </w:r>
            <w:r>
              <w:rPr>
                <w:rFonts w:ascii="宋体" w:hAnsi="宋体" w:eastAsia="宋体" w:cs="Times New Roman"/>
                <w:szCs w:val="21"/>
                <w:highlight w:val="none"/>
                <w:u w:val="single"/>
                <w:shd w:val="clear" w:color="auto" w:fill="auto"/>
              </w:rPr>
              <w:t xml:space="preserve"> </w:t>
            </w:r>
            <w:r>
              <w:rPr>
                <w:rFonts w:hint="eastAsia" w:ascii="宋体" w:hAnsi="宋体" w:eastAsia="宋体" w:cs="Times New Roman"/>
                <w:szCs w:val="21"/>
                <w:highlight w:val="none"/>
                <w:u w:val="single"/>
                <w:shd w:val="clear" w:color="auto" w:fill="auto"/>
                <w:lang w:val="en-US" w:eastAsia="zh-CN"/>
              </w:rPr>
              <w:t>19</w:t>
            </w:r>
            <w:r>
              <w:rPr>
                <w:rFonts w:ascii="宋体" w:hAnsi="宋体" w:eastAsia="宋体" w:cs="Times New Roman"/>
                <w:szCs w:val="21"/>
                <w:highlight w:val="none"/>
                <w:u w:val="single"/>
                <w:shd w:val="clear" w:color="auto" w:fill="auto"/>
              </w:rPr>
              <w:t xml:space="preserve">  </w:t>
            </w:r>
            <w:r>
              <w:rPr>
                <w:rFonts w:hint="eastAsia" w:ascii="宋体" w:hAnsi="宋体" w:eastAsia="宋体" w:cs="Times New Roman"/>
                <w:szCs w:val="21"/>
                <w:highlight w:val="none"/>
                <w:shd w:val="clear" w:color="auto" w:fill="auto"/>
              </w:rPr>
              <w:t>日</w:t>
            </w:r>
            <w:r>
              <w:rPr>
                <w:rFonts w:ascii="宋体" w:hAnsi="宋体" w:eastAsia="宋体" w:cs="Times New Roman"/>
                <w:szCs w:val="21"/>
                <w:highlight w:val="none"/>
                <w:u w:val="single"/>
                <w:shd w:val="clear" w:color="auto" w:fill="auto"/>
              </w:rPr>
              <w:t xml:space="preserve"> </w:t>
            </w:r>
            <w:r>
              <w:rPr>
                <w:rFonts w:hint="eastAsia" w:ascii="宋体" w:hAnsi="宋体" w:eastAsia="宋体" w:cs="Times New Roman"/>
                <w:szCs w:val="21"/>
                <w:highlight w:val="none"/>
                <w:u w:val="single"/>
                <w:shd w:val="clear" w:color="auto" w:fill="auto"/>
                <w:lang w:val="en-US" w:eastAsia="zh-CN"/>
              </w:rPr>
              <w:t>17</w:t>
            </w:r>
            <w:r>
              <w:rPr>
                <w:rFonts w:ascii="宋体" w:hAnsi="宋体" w:eastAsia="宋体" w:cs="Times New Roman"/>
                <w:szCs w:val="21"/>
                <w:highlight w:val="none"/>
                <w:u w:val="single"/>
                <w:shd w:val="clear" w:color="auto" w:fill="auto"/>
              </w:rPr>
              <w:t xml:space="preserve"> </w:t>
            </w:r>
            <w:r>
              <w:rPr>
                <w:rFonts w:hint="eastAsia" w:ascii="宋体" w:hAnsi="宋体" w:eastAsia="宋体" w:cs="Times New Roman"/>
                <w:szCs w:val="21"/>
                <w:highlight w:val="none"/>
                <w:shd w:val="clear" w:color="auto" w:fill="auto"/>
              </w:rPr>
              <w:t>时前（以电子采购平台设置时间为准）。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Merge w:val="continue"/>
            <w:vAlign w:val="center"/>
          </w:tcPr>
          <w:p>
            <w:pPr>
              <w:spacing w:before="0" w:after="0"/>
              <w:jc w:val="center"/>
              <w:rPr>
                <w:rFonts w:ascii="宋体" w:hAnsi="宋体" w:eastAsia="宋体" w:cs="Times New Roman"/>
                <w:szCs w:val="21"/>
                <w:highlight w:val="none"/>
                <w:shd w:val="clear" w:color="auto" w:fill="auto"/>
              </w:rPr>
            </w:pPr>
          </w:p>
        </w:tc>
        <w:tc>
          <w:tcPr>
            <w:tcW w:w="1714" w:type="pct"/>
            <w:gridSpan w:val="2"/>
            <w:vMerge w:val="continue"/>
            <w:vAlign w:val="center"/>
          </w:tcPr>
          <w:p>
            <w:pPr>
              <w:spacing w:before="0" w:after="0"/>
              <w:jc w:val="center"/>
              <w:rPr>
                <w:rFonts w:ascii="宋体" w:hAnsi="宋体" w:eastAsia="宋体" w:cs="Times New Roman"/>
                <w:szCs w:val="21"/>
                <w:highlight w:val="none"/>
                <w:shd w:val="clear" w:color="auto" w:fill="auto"/>
              </w:rPr>
            </w:pP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形式：通过电子采购平台提出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2.2.2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招标文件澄清发出的形式</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通过电子采购平台发出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Merge w:val="restar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2.2.3</w:t>
            </w:r>
          </w:p>
        </w:tc>
        <w:tc>
          <w:tcPr>
            <w:tcW w:w="1714" w:type="pct"/>
            <w:gridSpan w:val="2"/>
            <w:vMerge w:val="restar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投标人确认收到招标文件澄清</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时间：澄清发出24小时内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Merge w:val="continue"/>
            <w:vAlign w:val="center"/>
          </w:tcPr>
          <w:p>
            <w:pPr>
              <w:spacing w:before="0" w:after="0"/>
              <w:jc w:val="center"/>
              <w:rPr>
                <w:rFonts w:ascii="宋体" w:hAnsi="宋体" w:eastAsia="宋体" w:cs="Times New Roman"/>
                <w:szCs w:val="21"/>
                <w:highlight w:val="none"/>
                <w:shd w:val="clear" w:color="auto" w:fill="auto"/>
              </w:rPr>
            </w:pPr>
          </w:p>
        </w:tc>
        <w:tc>
          <w:tcPr>
            <w:tcW w:w="1714" w:type="pct"/>
            <w:gridSpan w:val="2"/>
            <w:vMerge w:val="continue"/>
            <w:vAlign w:val="center"/>
          </w:tcPr>
          <w:p>
            <w:pPr>
              <w:spacing w:before="0" w:after="0"/>
              <w:jc w:val="center"/>
              <w:rPr>
                <w:rFonts w:ascii="宋体" w:hAnsi="宋体" w:eastAsia="宋体" w:cs="Times New Roman"/>
                <w:szCs w:val="21"/>
                <w:highlight w:val="none"/>
                <w:shd w:val="clear" w:color="auto" w:fill="auto"/>
              </w:rPr>
            </w:pP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形式：通过电子采购平台确认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2.3.1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招标文件修改发出的形式</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通过电子采购平台发出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Merge w:val="restar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2.3.2</w:t>
            </w:r>
          </w:p>
        </w:tc>
        <w:tc>
          <w:tcPr>
            <w:tcW w:w="1714" w:type="pct"/>
            <w:gridSpan w:val="2"/>
            <w:vMerge w:val="restar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投标人确认收到招标文件修改的时间和形式</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时间：修改文件的澄清发出24小时内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Merge w:val="continue"/>
            <w:vAlign w:val="center"/>
          </w:tcPr>
          <w:p>
            <w:pPr>
              <w:spacing w:before="0" w:after="0"/>
              <w:jc w:val="center"/>
              <w:rPr>
                <w:rFonts w:ascii="宋体" w:hAnsi="宋体" w:eastAsia="宋体" w:cs="Times New Roman"/>
                <w:szCs w:val="21"/>
                <w:highlight w:val="none"/>
                <w:shd w:val="clear" w:color="auto" w:fill="auto"/>
              </w:rPr>
            </w:pPr>
          </w:p>
        </w:tc>
        <w:tc>
          <w:tcPr>
            <w:tcW w:w="1714" w:type="pct"/>
            <w:gridSpan w:val="2"/>
            <w:vMerge w:val="continue"/>
            <w:vAlign w:val="center"/>
          </w:tcPr>
          <w:p>
            <w:pPr>
              <w:spacing w:before="0" w:after="0"/>
              <w:jc w:val="center"/>
              <w:rPr>
                <w:rFonts w:ascii="宋体" w:hAnsi="宋体" w:eastAsia="宋体" w:cs="Times New Roman"/>
                <w:szCs w:val="21"/>
                <w:highlight w:val="none"/>
                <w:shd w:val="clear" w:color="auto" w:fill="auto"/>
              </w:rPr>
            </w:pP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形式：通过电子采购平台确认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highlight w:val="none"/>
                <w:shd w:val="clear" w:color="auto" w:fill="auto"/>
              </w:rPr>
              <w:t>3.1.1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投标文件的组成</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highlight w:val="none"/>
                <w:shd w:val="clear" w:color="auto" w:fill="auto"/>
              </w:rPr>
              <w:t>本项补充如下：投标文件由商务部分和技术部分组成，各部分具体内容详见第六章投标文件格式，若第六章投标文件格式中所列内容未包含投标须知3.1.1款所列内容，请投标人自行补充。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3.2.1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增值税税金的计算方法</w:t>
            </w:r>
          </w:p>
        </w:tc>
        <w:tc>
          <w:tcPr>
            <w:tcW w:w="2857" w:type="pct"/>
            <w:vAlign w:val="center"/>
          </w:tcPr>
          <w:p>
            <w:pPr>
              <w:spacing w:before="0" w:after="0"/>
              <w:rPr>
                <w:rFonts w:ascii="宋体" w:hAnsi="宋体" w:eastAsia="宋体" w:cs="Times New Roman"/>
                <w:color w:val="000000" w:themeColor="text1"/>
                <w:spacing w:val="1"/>
                <w:szCs w:val="21"/>
                <w:highlight w:val="none"/>
                <w:shd w:val="clear" w:color="auto" w:fill="auto"/>
              </w:rPr>
            </w:pPr>
            <w:r>
              <w:rPr>
                <w:rFonts w:ascii="宋体" w:hAnsi="宋体" w:eastAsia="宋体" w:cs="Times New Roman"/>
                <w:color w:val="000000" w:themeColor="text1"/>
                <w:szCs w:val="21"/>
                <w:highlight w:val="none"/>
                <w:shd w:val="clear" w:color="auto" w:fill="auto"/>
              </w:rPr>
              <w:t>■</w:t>
            </w:r>
            <w:r>
              <w:rPr>
                <w:rFonts w:ascii="宋体" w:hAnsi="宋体" w:eastAsia="宋体" w:cs="Times New Roman"/>
                <w:color w:val="000000" w:themeColor="text1"/>
                <w:spacing w:val="1"/>
                <w:szCs w:val="21"/>
                <w:highlight w:val="none"/>
                <w:shd w:val="clear" w:color="auto" w:fill="auto"/>
              </w:rPr>
              <w:t>一般计税方法</w:t>
            </w:r>
          </w:p>
          <w:p>
            <w:pPr>
              <w:spacing w:before="0" w:after="0"/>
              <w:rPr>
                <w:rFonts w:ascii="宋体" w:hAnsi="宋体" w:eastAsia="宋体" w:cs="Times New Roman"/>
                <w:szCs w:val="21"/>
                <w:highlight w:val="none"/>
                <w:shd w:val="clear" w:color="auto" w:fill="auto"/>
              </w:rPr>
            </w:pPr>
            <w:r>
              <w:rPr>
                <w:rFonts w:ascii="宋体" w:hAnsi="宋体" w:eastAsia="宋体" w:cs="Times New Roman"/>
                <w:color w:val="000000" w:themeColor="text1"/>
                <w:szCs w:val="21"/>
                <w:highlight w:val="none"/>
                <w:shd w:val="clear" w:color="auto" w:fill="auto"/>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3.2.4</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最高投标限价</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color w:val="000000" w:themeColor="text1"/>
                <w:szCs w:val="21"/>
                <w:highlight w:val="none"/>
                <w:shd w:val="clear" w:color="auto" w:fill="auto"/>
              </w:rPr>
              <w:t>□</w:t>
            </w:r>
            <w:r>
              <w:rPr>
                <w:rFonts w:ascii="宋体" w:hAnsi="宋体" w:eastAsia="宋体" w:cs="Times New Roman"/>
                <w:szCs w:val="21"/>
                <w:highlight w:val="none"/>
                <w:shd w:val="clear" w:color="auto" w:fill="auto"/>
              </w:rPr>
              <w:t>无</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■有，最高投标限价：</w:t>
            </w:r>
            <w:r>
              <w:rPr>
                <w:rFonts w:hint="eastAsia" w:ascii="宋体" w:hAnsi="宋体" w:eastAsia="宋体" w:cs="Times New Roman"/>
                <w:szCs w:val="21"/>
                <w:highlight w:val="none"/>
                <w:u w:val="single"/>
                <w:shd w:val="clear" w:color="auto" w:fill="auto"/>
              </w:rPr>
              <w:t>909000元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3.2.5</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投标报价的其他要求</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u w:val="single"/>
                <w:shd w:val="clear" w:color="auto" w:fill="auto"/>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3.3.1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投标有效期</w:t>
            </w:r>
          </w:p>
        </w:tc>
        <w:tc>
          <w:tcPr>
            <w:tcW w:w="2857" w:type="pct"/>
            <w:vAlign w:val="center"/>
          </w:tcPr>
          <w:p>
            <w:pPr>
              <w:spacing w:before="0" w:after="0"/>
              <w:rPr>
                <w:rFonts w:ascii="宋体" w:hAnsi="宋体" w:eastAsia="宋体" w:cs="Times New Roman"/>
                <w:szCs w:val="21"/>
                <w:highlight w:val="none"/>
                <w:shd w:val="clear" w:color="auto" w:fill="auto"/>
              </w:rPr>
            </w:pPr>
            <w:bookmarkStart w:id="60" w:name="_Toc352691470"/>
            <w:bookmarkStart w:id="61" w:name="_Toc1789"/>
            <w:bookmarkStart w:id="62" w:name="_Toc384308207"/>
            <w:bookmarkStart w:id="63" w:name="_Toc361508582"/>
            <w:bookmarkStart w:id="64" w:name="_Toc369531512"/>
            <w:bookmarkStart w:id="65" w:name="_Toc300834946"/>
            <w:r>
              <w:rPr>
                <w:rFonts w:ascii="宋体" w:hAnsi="宋体" w:eastAsia="宋体" w:cs="Times New Roman"/>
                <w:szCs w:val="21"/>
                <w:highlight w:val="none"/>
                <w:shd w:val="clear" w:color="auto" w:fill="auto"/>
              </w:rPr>
              <w:t>自开标之日起120个日历日</w:t>
            </w:r>
          </w:p>
        </w:tc>
      </w:tr>
      <w:bookmarkEnd w:id="60"/>
      <w:bookmarkEnd w:id="61"/>
      <w:bookmarkEnd w:id="62"/>
      <w:bookmarkEnd w:id="63"/>
      <w:bookmarkEnd w:id="64"/>
      <w:bookmark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3.4.1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投标保证金</w:t>
            </w:r>
          </w:p>
        </w:tc>
        <w:tc>
          <w:tcPr>
            <w:tcW w:w="2857" w:type="pct"/>
            <w:vAlign w:val="center"/>
          </w:tcPr>
          <w:p>
            <w:pPr>
              <w:adjustRightInd w:val="0"/>
              <w:snapToGrid w:val="0"/>
              <w:spacing w:before="0" w:after="0"/>
              <w:rPr>
                <w:rFonts w:ascii="宋体" w:hAnsi="宋体"/>
                <w:szCs w:val="21"/>
                <w:highlight w:val="none"/>
                <w:shd w:val="clear" w:color="auto" w:fill="auto"/>
              </w:rPr>
            </w:pPr>
            <w:r>
              <w:rPr>
                <w:rFonts w:ascii="宋体" w:hAnsi="宋体"/>
                <w:szCs w:val="21"/>
                <w:highlight w:val="none"/>
                <w:shd w:val="clear" w:color="auto" w:fill="auto"/>
              </w:rPr>
              <w:t>是否要求投标人递交投标保证金：</w:t>
            </w:r>
          </w:p>
          <w:p>
            <w:pPr>
              <w:adjustRightInd w:val="0"/>
              <w:snapToGrid w:val="0"/>
              <w:spacing w:before="0" w:after="0"/>
              <w:rPr>
                <w:rFonts w:ascii="宋体" w:hAnsi="宋体"/>
                <w:szCs w:val="21"/>
                <w:highlight w:val="none"/>
                <w:shd w:val="clear" w:color="auto" w:fill="auto"/>
              </w:rPr>
            </w:pPr>
            <w:r>
              <w:rPr>
                <w:rFonts w:ascii="宋体" w:hAnsi="宋体"/>
                <w:szCs w:val="21"/>
                <w:highlight w:val="none"/>
                <w:shd w:val="clear" w:color="auto" w:fill="auto"/>
              </w:rPr>
              <w:t>■要求，</w:t>
            </w:r>
            <w:r>
              <w:rPr>
                <w:rFonts w:hint="eastAsia" w:ascii="宋体" w:hAnsi="宋体"/>
                <w:szCs w:val="21"/>
                <w:highlight w:val="none"/>
                <w:shd w:val="clear" w:color="auto" w:fill="auto"/>
              </w:rPr>
              <w:t>1、</w:t>
            </w:r>
            <w:r>
              <w:rPr>
                <w:rFonts w:ascii="宋体" w:hAnsi="宋体"/>
                <w:szCs w:val="21"/>
                <w:highlight w:val="none"/>
                <w:shd w:val="clear" w:color="auto" w:fill="auto"/>
              </w:rPr>
              <w:t>投标保证金的形式：电汇</w:t>
            </w:r>
          </w:p>
          <w:p>
            <w:pPr>
              <w:adjustRightInd w:val="0"/>
              <w:snapToGrid w:val="0"/>
              <w:spacing w:before="0" w:after="0"/>
              <w:rPr>
                <w:rFonts w:ascii="宋体" w:hAnsi="宋体"/>
                <w:szCs w:val="21"/>
                <w:highlight w:val="none"/>
                <w:shd w:val="clear" w:color="auto" w:fill="auto"/>
              </w:rPr>
            </w:pPr>
            <w:r>
              <w:rPr>
                <w:rFonts w:ascii="宋体" w:hAnsi="宋体"/>
                <w:szCs w:val="21"/>
                <w:highlight w:val="none"/>
                <w:shd w:val="clear" w:color="auto" w:fill="auto"/>
              </w:rPr>
              <w:t>投标保证金的金额：</w:t>
            </w:r>
          </w:p>
          <w:p>
            <w:pPr>
              <w:adjustRightInd w:val="0"/>
              <w:snapToGrid w:val="0"/>
              <w:spacing w:before="0" w:after="0"/>
              <w:rPr>
                <w:rFonts w:ascii="宋体" w:hAnsi="宋体"/>
                <w:szCs w:val="21"/>
                <w:highlight w:val="none"/>
                <w:shd w:val="clear" w:color="auto" w:fill="auto"/>
              </w:rPr>
            </w:pPr>
            <w:r>
              <w:rPr>
                <w:rFonts w:hint="eastAsia" w:ascii="宋体" w:hAnsi="宋体"/>
                <w:szCs w:val="21"/>
                <w:highlight w:val="none"/>
                <w:shd w:val="clear" w:color="auto" w:fill="auto"/>
              </w:rPr>
              <w:t>人民币壹万捌仟元整（￥18000元）；</w:t>
            </w:r>
          </w:p>
          <w:p>
            <w:pPr>
              <w:adjustRightInd w:val="0"/>
              <w:snapToGrid w:val="0"/>
              <w:spacing w:before="0" w:after="0"/>
              <w:rPr>
                <w:rFonts w:ascii="宋体" w:hAnsi="宋体"/>
                <w:szCs w:val="21"/>
                <w:highlight w:val="none"/>
                <w:shd w:val="clear" w:color="auto" w:fill="auto"/>
              </w:rPr>
            </w:pPr>
            <w:r>
              <w:rPr>
                <w:rFonts w:hint="eastAsia" w:ascii="宋体" w:hAnsi="宋体"/>
                <w:szCs w:val="21"/>
                <w:highlight w:val="none"/>
                <w:shd w:val="clear" w:color="auto" w:fill="auto"/>
              </w:rPr>
              <w:t>2.2021年</w:t>
            </w:r>
            <w:r>
              <w:rPr>
                <w:rFonts w:hint="eastAsia" w:ascii="宋体" w:hAnsi="宋体"/>
                <w:szCs w:val="21"/>
                <w:highlight w:val="none"/>
                <w:shd w:val="clear" w:color="auto" w:fill="auto"/>
                <w:lang w:val="en-US" w:eastAsia="zh-CN"/>
              </w:rPr>
              <w:t>1</w:t>
            </w:r>
            <w:r>
              <w:rPr>
                <w:rFonts w:hint="eastAsia" w:ascii="宋体" w:hAnsi="宋体"/>
                <w:szCs w:val="21"/>
                <w:highlight w:val="none"/>
                <w:shd w:val="clear" w:color="auto" w:fill="auto"/>
              </w:rPr>
              <w:t xml:space="preserve"> 月</w:t>
            </w:r>
            <w:r>
              <w:rPr>
                <w:rFonts w:hint="eastAsia" w:ascii="宋体" w:hAnsi="宋体"/>
                <w:szCs w:val="21"/>
                <w:highlight w:val="none"/>
                <w:shd w:val="clear" w:color="auto" w:fill="auto"/>
                <w:lang w:val="en-US" w:eastAsia="zh-CN"/>
              </w:rPr>
              <w:t>19</w:t>
            </w:r>
            <w:r>
              <w:rPr>
                <w:rFonts w:hint="eastAsia" w:ascii="宋体" w:hAnsi="宋体"/>
                <w:szCs w:val="21"/>
                <w:highlight w:val="none"/>
                <w:shd w:val="clear" w:color="auto" w:fill="auto"/>
              </w:rPr>
              <w:t xml:space="preserve"> 日17时前（以投标保证金的到账时间为准）向招标代理机构交纳，交纳账户信息如下：</w:t>
            </w:r>
          </w:p>
          <w:p>
            <w:pPr>
              <w:adjustRightInd w:val="0"/>
              <w:snapToGrid w:val="0"/>
              <w:spacing w:before="0" w:after="0"/>
              <w:rPr>
                <w:rFonts w:ascii="宋体" w:hAnsi="宋体"/>
                <w:szCs w:val="21"/>
                <w:highlight w:val="none"/>
                <w:shd w:val="clear" w:color="auto" w:fill="auto"/>
              </w:rPr>
            </w:pPr>
            <w:r>
              <w:rPr>
                <w:rFonts w:hint="eastAsia" w:ascii="宋体" w:hAnsi="宋体"/>
                <w:szCs w:val="21"/>
                <w:highlight w:val="none"/>
                <w:shd w:val="clear" w:color="auto" w:fill="auto"/>
              </w:rPr>
              <w:t>开户名称：山东世元工程管理有限公司</w:t>
            </w:r>
          </w:p>
          <w:p>
            <w:pPr>
              <w:adjustRightInd w:val="0"/>
              <w:snapToGrid w:val="0"/>
              <w:spacing w:before="0" w:after="0"/>
              <w:rPr>
                <w:rFonts w:ascii="宋体" w:hAnsi="宋体"/>
                <w:szCs w:val="21"/>
                <w:highlight w:val="none"/>
                <w:shd w:val="clear" w:color="auto" w:fill="auto"/>
              </w:rPr>
            </w:pPr>
            <w:r>
              <w:rPr>
                <w:rFonts w:hint="eastAsia" w:ascii="宋体" w:hAnsi="宋体"/>
                <w:szCs w:val="21"/>
                <w:highlight w:val="none"/>
                <w:shd w:val="clear" w:color="auto" w:fill="auto"/>
              </w:rPr>
              <w:t>开户银行：交通银行青岛山东路支行</w:t>
            </w:r>
          </w:p>
          <w:p>
            <w:pPr>
              <w:adjustRightInd w:val="0"/>
              <w:snapToGrid w:val="0"/>
              <w:spacing w:before="0" w:after="0"/>
              <w:rPr>
                <w:rFonts w:ascii="宋体" w:hAnsi="宋体"/>
                <w:szCs w:val="21"/>
                <w:highlight w:val="none"/>
                <w:shd w:val="clear" w:color="auto" w:fill="auto"/>
              </w:rPr>
            </w:pPr>
            <w:r>
              <w:rPr>
                <w:rFonts w:hint="eastAsia" w:ascii="宋体" w:hAnsi="宋体"/>
                <w:szCs w:val="21"/>
                <w:highlight w:val="none"/>
                <w:shd w:val="clear" w:color="auto" w:fill="auto"/>
              </w:rPr>
              <w:t>银行账号：372005513018000951856</w:t>
            </w:r>
          </w:p>
          <w:p>
            <w:pPr>
              <w:adjustRightInd w:val="0"/>
              <w:snapToGrid w:val="0"/>
              <w:spacing w:before="0" w:after="0"/>
              <w:rPr>
                <w:rFonts w:ascii="宋体" w:hAnsi="宋体"/>
                <w:szCs w:val="21"/>
                <w:highlight w:val="none"/>
                <w:shd w:val="clear" w:color="auto" w:fill="auto"/>
              </w:rPr>
            </w:pPr>
            <w:r>
              <w:rPr>
                <w:rFonts w:hint="eastAsia" w:ascii="宋体" w:hAnsi="宋体"/>
                <w:szCs w:val="21"/>
                <w:highlight w:val="none"/>
                <w:shd w:val="clear" w:color="auto" w:fill="auto"/>
              </w:rPr>
              <w:t>3.投标保证金的交纳单位必须与投标人名称一致；</w:t>
            </w:r>
          </w:p>
          <w:p>
            <w:pPr>
              <w:adjustRightInd w:val="0"/>
              <w:snapToGrid w:val="0"/>
              <w:spacing w:before="0" w:after="0"/>
              <w:rPr>
                <w:rFonts w:ascii="宋体" w:hAnsi="宋体"/>
                <w:szCs w:val="21"/>
                <w:highlight w:val="none"/>
                <w:shd w:val="clear" w:color="auto" w:fill="auto"/>
              </w:rPr>
            </w:pPr>
            <w:r>
              <w:rPr>
                <w:rFonts w:hint="eastAsia" w:ascii="宋体" w:hAnsi="宋体"/>
                <w:szCs w:val="21"/>
                <w:highlight w:val="none"/>
                <w:shd w:val="clear" w:color="auto" w:fill="auto"/>
              </w:rPr>
              <w:t>4.投标保证金须从投标人基本账户一次性汇出，并在用途中注明：青岛国信金融中心项目酒店电视机采购及安装投标保证金。</w:t>
            </w:r>
          </w:p>
          <w:p>
            <w:pPr>
              <w:spacing w:before="0" w:after="0"/>
              <w:rPr>
                <w:rFonts w:ascii="宋体" w:hAnsi="宋体" w:eastAsia="宋体" w:cs="Times New Roman"/>
                <w:szCs w:val="21"/>
                <w:highlight w:val="none"/>
                <w:shd w:val="clear" w:color="auto" w:fill="auto"/>
              </w:rPr>
            </w:pPr>
            <w:r>
              <w:rPr>
                <w:rFonts w:hint="eastAsia" w:ascii="宋体" w:hAnsi="宋体"/>
                <w:szCs w:val="21"/>
                <w:highlight w:val="none"/>
                <w:shd w:val="clear" w:color="auto" w:fill="auto"/>
              </w:rPr>
              <w:t>5.投标人参与多标段投标的，须每标段单独缴纳投标保证金，不得合交，否则招标人有权拒绝其投标。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3.4.4</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其他可以不予退还投标保证金的情形</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u w:val="single"/>
                <w:shd w:val="clear" w:color="auto" w:fill="auto"/>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3.5</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资格审查资料的特殊要求</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■无</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□有，具体要求：_________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429" w:type="pct"/>
            <w:vMerge w:val="restar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3.5.3</w:t>
            </w:r>
          </w:p>
        </w:tc>
        <w:tc>
          <w:tcPr>
            <w:tcW w:w="687" w:type="pct"/>
            <w:vMerge w:val="restar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近年完成的类似项目情况要求</w:t>
            </w:r>
          </w:p>
        </w:tc>
        <w:tc>
          <w:tcPr>
            <w:tcW w:w="1027"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近年完成的类似项目情况的时间要求</w:t>
            </w:r>
          </w:p>
        </w:tc>
        <w:tc>
          <w:tcPr>
            <w:tcW w:w="2857" w:type="pct"/>
            <w:vAlign w:val="center"/>
          </w:tcPr>
          <w:p>
            <w:pPr>
              <w:spacing w:before="0" w:after="0"/>
              <w:ind w:left="40" w:hanging="39" w:hangingChars="19"/>
              <w:jc w:val="left"/>
              <w:rPr>
                <w:rFonts w:ascii="宋体" w:hAnsi="宋体" w:eastAsia="宋体" w:cs="Times New Roman"/>
                <w:szCs w:val="21"/>
                <w:highlight w:val="none"/>
                <w:u w:val="single"/>
                <w:shd w:val="clear" w:color="auto" w:fill="auto"/>
              </w:rPr>
            </w:pPr>
            <w:r>
              <w:rPr>
                <w:rFonts w:ascii="宋体" w:hAnsi="宋体" w:eastAsia="宋体" w:cs="Times New Roman"/>
                <w:szCs w:val="21"/>
                <w:highlight w:val="none"/>
                <w:shd w:val="clear" w:color="auto" w:fill="auto"/>
              </w:rPr>
              <w:t>见招标公告业绩的时间要求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429" w:type="pct"/>
            <w:vMerge w:val="continue"/>
            <w:vAlign w:val="center"/>
          </w:tcPr>
          <w:p>
            <w:pPr>
              <w:spacing w:before="0" w:after="0"/>
              <w:jc w:val="center"/>
              <w:rPr>
                <w:rFonts w:ascii="宋体" w:hAnsi="宋体" w:eastAsia="宋体" w:cs="Times New Roman"/>
                <w:szCs w:val="21"/>
                <w:highlight w:val="none"/>
                <w:shd w:val="clear" w:color="auto" w:fill="auto"/>
              </w:rPr>
            </w:pPr>
          </w:p>
        </w:tc>
        <w:tc>
          <w:tcPr>
            <w:tcW w:w="687" w:type="pct"/>
            <w:vMerge w:val="continue"/>
            <w:vAlign w:val="center"/>
          </w:tcPr>
          <w:p>
            <w:pPr>
              <w:spacing w:before="0" w:after="0"/>
              <w:jc w:val="center"/>
              <w:rPr>
                <w:rFonts w:ascii="宋体" w:hAnsi="宋体" w:eastAsia="宋体" w:cs="Times New Roman"/>
                <w:szCs w:val="21"/>
                <w:highlight w:val="none"/>
                <w:shd w:val="clear" w:color="auto" w:fill="auto"/>
              </w:rPr>
            </w:pPr>
          </w:p>
        </w:tc>
        <w:tc>
          <w:tcPr>
            <w:tcW w:w="1027"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近年完成的类似项目的相关证明材料</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 xml:space="preserve">近年完成的类似项目的相关证明材料修改如下: </w:t>
            </w:r>
            <w:r>
              <w:rPr>
                <w:rFonts w:ascii="宋体" w:hAnsi="宋体" w:eastAsia="宋体" w:cs="Times New Roman"/>
                <w:b/>
                <w:szCs w:val="21"/>
                <w:highlight w:val="none"/>
                <w:shd w:val="clear" w:color="auto" w:fill="auto"/>
              </w:rPr>
              <w:t>合同复印件（包括封面页、合同范围页、签字盖章页）。</w:t>
            </w:r>
          </w:p>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如近年来，投标人法人机构发生合法变更或重组或法人名称变更时，应提供相关部门的合法批件或其他相关证明材料来证明其所附业绩的继承性。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3.5.5</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近年发生的诉讼及仲裁情况</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本款不适用。无需提供法院或仲裁机构作出的判决、裁决等有关法律文书扫描件。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3.6.1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是否允许递交备选投标方案</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■不允许</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color w:val="000000"/>
                <w:szCs w:val="21"/>
                <w:highlight w:val="none"/>
                <w:shd w:val="clear" w:color="auto" w:fill="auto"/>
              </w:rPr>
              <w:t>3.7.3</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color w:val="000000"/>
                <w:szCs w:val="21"/>
                <w:highlight w:val="none"/>
                <w:shd w:val="clear" w:color="auto" w:fill="auto"/>
              </w:rPr>
              <w:t>投标文件所附证书证件要求</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投标文件所附证书证件均为扫描件，无须加盖电子印章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color w:val="000000"/>
                <w:szCs w:val="21"/>
                <w:highlight w:val="none"/>
                <w:shd w:val="clear" w:color="auto" w:fill="auto"/>
              </w:rPr>
              <w:t>3.7.3</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color w:val="000000"/>
                <w:szCs w:val="21"/>
                <w:highlight w:val="none"/>
                <w:shd w:val="clear" w:color="auto" w:fill="auto"/>
              </w:rPr>
              <w:t>投标文件签字或盖章要求</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应在投标文件封面用CA数字证书加盖单位电子印章。</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注：投标文件中投标函、授权委托书等直接填写电子版签字、盖章；</w:t>
            </w:r>
            <w:bookmarkStart w:id="66" w:name="_Hlk513442311"/>
            <w:r>
              <w:rPr>
                <w:rFonts w:ascii="宋体" w:hAnsi="宋体" w:eastAsia="宋体" w:cs="Times New Roman"/>
                <w:szCs w:val="21"/>
                <w:highlight w:val="none"/>
                <w:shd w:val="clear" w:color="auto" w:fill="auto"/>
              </w:rPr>
              <w:t>若为联合体投标，投标文件（联合体协议书除外）要求盖单位章处仅需联合体牵头人盖单位电子印章即可，联合体协议书应由联合体各方盖单位公章后将扫描件上传。</w:t>
            </w:r>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4.1.1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投标文件加密要求</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应对商务、技术及价格三份文件分别加密，点击“生成”按钮，输入企业CA密码，选择文件保存位置后生成指定格式文件，完成文件加密。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4.1.2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封套上应载明的信息</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color w:val="000000"/>
                <w:sz w:val="21"/>
                <w:szCs w:val="21"/>
                <w:highlight w:val="none"/>
                <w:shd w:val="clear" w:color="auto" w:fill="auto"/>
              </w:rPr>
              <w:t>本款不适用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4.2.1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投标截止时间</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4.2.2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递交投标文件地点</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4.2.3</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投标文件是否退还</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■否</w:t>
            </w:r>
          </w:p>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□是，退还时间：_________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4.2.6</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投标文件的递交</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投标人完成CA绑定后，将编制的投标文件通过投标文件客户端进行签章和评标条款关联（投标文件中无相关内容的评标条款项可关联到任意页），生成加密的投标文件和密码串文件（密码串文件由投标人自行保管，用于CA介质损坏等紧急情况下的“其他方式解密”），在投标截止时间前通过电子采购平台上传递交加密的电子投标文件，递交成功后方能下载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5.1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开标时间和地点</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开标时间、地点同投标截止时间、地点。请投标人提前半小时登录，在【项目管理】→【我的项目】选择所投标段，点击“参与开标”按钮，进入网上开标大厅等候开标，开标时须使用CA进行解密。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5.2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开标程序</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1.开标后，投标人通过电子采购平台对已递交的电子投标文件进行解密，解密时间：</w:t>
            </w:r>
            <w:r>
              <w:rPr>
                <w:rFonts w:hint="eastAsia" w:ascii="宋体" w:hAnsi="宋体" w:eastAsia="宋体" w:cs="Times New Roman"/>
                <w:sz w:val="21"/>
                <w:szCs w:val="21"/>
                <w:highlight w:val="none"/>
                <w:shd w:val="clear" w:color="auto" w:fill="auto"/>
              </w:rPr>
              <w:t>30</w:t>
            </w:r>
            <w:r>
              <w:rPr>
                <w:rFonts w:ascii="宋体" w:hAnsi="宋体" w:eastAsia="宋体" w:cs="Times New Roman"/>
                <w:sz w:val="21"/>
                <w:szCs w:val="21"/>
                <w:highlight w:val="none"/>
                <w:shd w:val="clear" w:color="auto" w:fill="auto"/>
              </w:rPr>
              <w:t>分钟（注意：解密时需使用CA，未在</w:t>
            </w:r>
            <w:r>
              <w:rPr>
                <w:rFonts w:hint="eastAsia" w:ascii="宋体" w:hAnsi="宋体" w:eastAsia="宋体" w:cs="Times New Roman"/>
                <w:sz w:val="21"/>
                <w:szCs w:val="21"/>
                <w:highlight w:val="none"/>
                <w:shd w:val="clear" w:color="auto" w:fill="auto"/>
              </w:rPr>
              <w:t>30</w:t>
            </w:r>
            <w:r>
              <w:rPr>
                <w:rFonts w:ascii="宋体" w:hAnsi="宋体" w:eastAsia="宋体" w:cs="Times New Roman"/>
                <w:sz w:val="21"/>
                <w:szCs w:val="21"/>
                <w:highlight w:val="none"/>
                <w:shd w:val="clear" w:color="auto" w:fill="auto"/>
              </w:rPr>
              <w:t>分钟内完成解密的，其投标文件无效）；</w:t>
            </w:r>
          </w:p>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2.解密完成后，投标人在平台下发的开标记录上使用CA进行确认，确认时间为10分钟，10分钟后，系统默认投标人已确认；</w:t>
            </w:r>
          </w:p>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3.投标人确认完成后，监标人在开标记录上使用CA进行确认，开标结束。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6.1.1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评标委员会的组建</w:t>
            </w:r>
          </w:p>
        </w:tc>
        <w:tc>
          <w:tcPr>
            <w:tcW w:w="2857" w:type="pct"/>
            <w:vAlign w:val="center"/>
          </w:tcPr>
          <w:p>
            <w:pPr>
              <w:pStyle w:val="14"/>
              <w:topLinePunct/>
              <w:spacing w:before="0" w:after="0" w:line="240" w:lineRule="auto"/>
              <w:rPr>
                <w:rFonts w:ascii="宋体" w:hAnsi="宋体" w:eastAsia="宋体" w:cs="Times New Roman"/>
                <w:color w:val="000000"/>
                <w:sz w:val="21"/>
                <w:szCs w:val="21"/>
                <w:highlight w:val="none"/>
                <w:shd w:val="clear" w:color="auto" w:fill="auto"/>
              </w:rPr>
            </w:pPr>
            <w:r>
              <w:rPr>
                <w:rFonts w:ascii="宋体" w:hAnsi="宋体" w:eastAsia="宋体" w:cs="Times New Roman"/>
                <w:color w:val="000000"/>
                <w:sz w:val="21"/>
                <w:szCs w:val="21"/>
                <w:highlight w:val="none"/>
                <w:shd w:val="clear" w:color="auto" w:fill="auto"/>
              </w:rPr>
              <w:t>评标委员会构成：</w:t>
            </w:r>
            <w:r>
              <w:rPr>
                <w:rFonts w:ascii="宋体" w:hAnsi="宋体" w:eastAsia="宋体" w:cs="Times New Roman"/>
                <w:color w:val="000000"/>
                <w:sz w:val="21"/>
                <w:szCs w:val="21"/>
                <w:highlight w:val="none"/>
                <w:u w:val="single"/>
                <w:shd w:val="clear" w:color="auto" w:fill="auto"/>
              </w:rPr>
              <w:t xml:space="preserve"> 5</w:t>
            </w:r>
            <w:r>
              <w:rPr>
                <w:rFonts w:ascii="宋体" w:hAnsi="宋体" w:eastAsia="宋体" w:cs="Times New Roman"/>
                <w:color w:val="000000"/>
                <w:sz w:val="21"/>
                <w:szCs w:val="21"/>
                <w:highlight w:val="none"/>
                <w:shd w:val="clear" w:color="auto" w:fill="auto"/>
              </w:rPr>
              <w:t>人以上单数</w:t>
            </w:r>
          </w:p>
          <w:p>
            <w:pPr>
              <w:pStyle w:val="14"/>
              <w:topLinePunct/>
              <w:spacing w:before="0" w:after="0" w:line="240" w:lineRule="auto"/>
              <w:rPr>
                <w:rFonts w:ascii="宋体" w:hAnsi="宋体" w:eastAsia="宋体" w:cs="Times New Roman"/>
                <w:color w:val="000000"/>
                <w:sz w:val="21"/>
                <w:szCs w:val="21"/>
                <w:highlight w:val="none"/>
                <w:shd w:val="clear" w:color="auto" w:fill="auto"/>
              </w:rPr>
            </w:pPr>
            <w:r>
              <w:rPr>
                <w:rFonts w:ascii="宋体" w:hAnsi="宋体" w:eastAsia="宋体" w:cs="Times New Roman"/>
                <w:color w:val="000000"/>
                <w:sz w:val="21"/>
                <w:szCs w:val="21"/>
                <w:highlight w:val="none"/>
                <w:shd w:val="clear" w:color="auto" w:fill="auto"/>
              </w:rPr>
              <w:t>评标专家确定方式：从专家库中抽取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6.3.2</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评标委员会推荐中标候选人的人数</w:t>
            </w:r>
          </w:p>
        </w:tc>
        <w:tc>
          <w:tcPr>
            <w:tcW w:w="2857" w:type="pct"/>
            <w:vAlign w:val="center"/>
          </w:tcPr>
          <w:p>
            <w:pPr>
              <w:spacing w:before="0" w:after="0"/>
              <w:rPr>
                <w:rFonts w:ascii="宋体" w:hAnsi="宋体" w:eastAsia="宋体" w:cs="Times New Roman"/>
                <w:szCs w:val="21"/>
                <w:highlight w:val="none"/>
                <w:shd w:val="clear" w:color="auto" w:fill="auto"/>
              </w:rPr>
            </w:pPr>
            <w:r>
              <w:rPr>
                <w:rFonts w:hint="eastAsia" w:ascii="宋体" w:hAnsi="宋体" w:eastAsia="宋体" w:cs="Times New Roman"/>
                <w:szCs w:val="21"/>
                <w:highlight w:val="none"/>
                <w:shd w:val="clear" w:color="auto" w:fill="auto"/>
              </w:rPr>
              <w:t>2</w:t>
            </w:r>
            <w:r>
              <w:rPr>
                <w:rFonts w:ascii="宋体" w:hAnsi="宋体" w:eastAsia="宋体" w:cs="Times New Roman"/>
                <w:szCs w:val="21"/>
                <w:highlight w:val="none"/>
                <w:shd w:val="clear" w:color="auto" w:fill="auto"/>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7.1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中标候选人公示媒介及期限</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公示媒介：</w:t>
            </w:r>
            <w:r>
              <w:rPr>
                <w:rFonts w:hint="eastAsia" w:ascii="Times New Roman" w:hAnsi="Times New Roman" w:eastAsia="宋体" w:cs="Times New Roman"/>
                <w:kern w:val="0"/>
                <w:szCs w:val="21"/>
                <w:highlight w:val="none"/>
                <w:shd w:val="clear" w:color="auto" w:fill="auto"/>
              </w:rPr>
              <w:t>青岛国信发展(集团)有限责任公司</w:t>
            </w:r>
            <w:r>
              <w:rPr>
                <w:rFonts w:ascii="Times New Roman" w:hAnsi="Times New Roman" w:eastAsia="宋体" w:cs="Times New Roman"/>
                <w:kern w:val="0"/>
                <w:szCs w:val="21"/>
                <w:highlight w:val="none"/>
                <w:shd w:val="clear" w:color="auto" w:fill="auto"/>
              </w:rPr>
              <w:t>（</w:t>
            </w:r>
            <w:r>
              <w:rPr>
                <w:rFonts w:hint="eastAsia" w:ascii="Times New Roman" w:hAnsi="Times New Roman" w:eastAsia="宋体" w:cs="Times New Roman"/>
                <w:kern w:val="0"/>
                <w:szCs w:val="21"/>
                <w:highlight w:val="none"/>
                <w:shd w:val="clear" w:color="auto" w:fill="auto"/>
              </w:rPr>
              <w:t>国信</w:t>
            </w:r>
            <w:r>
              <w:rPr>
                <w:rFonts w:ascii="Times New Roman" w:hAnsi="Times New Roman" w:eastAsia="宋体" w:cs="Times New Roman"/>
                <w:kern w:val="0"/>
                <w:szCs w:val="21"/>
                <w:highlight w:val="none"/>
                <w:shd w:val="clear" w:color="auto" w:fill="auto"/>
              </w:rPr>
              <w:t>集团）</w:t>
            </w:r>
            <w:r>
              <w:rPr>
                <w:rFonts w:ascii="宋体" w:hAnsi="宋体" w:eastAsia="宋体" w:cs="Times New Roman"/>
                <w:szCs w:val="21"/>
                <w:highlight w:val="none"/>
                <w:shd w:val="clear" w:color="auto" w:fill="auto"/>
              </w:rPr>
              <w:t>电子采购平台（</w:t>
            </w:r>
            <w:r>
              <w:rPr>
                <w:highlight w:val="none"/>
                <w:shd w:val="clear" w:color="auto" w:fill="auto"/>
              </w:rPr>
              <w:fldChar w:fldCharType="begin"/>
            </w:r>
            <w:r>
              <w:rPr>
                <w:highlight w:val="none"/>
                <w:shd w:val="clear" w:color="auto" w:fill="auto"/>
              </w:rPr>
              <w:instrText xml:space="preserve"> HYPERLINK "http://eps.qdgxjt.com/cms/index.htm" </w:instrText>
            </w:r>
            <w:r>
              <w:rPr>
                <w:highlight w:val="none"/>
                <w:shd w:val="clear" w:color="auto" w:fill="auto"/>
              </w:rPr>
              <w:fldChar w:fldCharType="separate"/>
            </w:r>
            <w:r>
              <w:rPr>
                <w:rFonts w:ascii="Calibri" w:hAnsi="Calibri" w:eastAsia="宋体" w:cs="Times New Roman"/>
                <w:color w:val="000000"/>
                <w:highlight w:val="none"/>
                <w:u w:val="single"/>
                <w:shd w:val="clear" w:color="auto" w:fill="auto"/>
              </w:rPr>
              <w:t>http://eps.qdgxjt.com/cms/index.htm</w:t>
            </w:r>
            <w:r>
              <w:rPr>
                <w:rFonts w:ascii="Calibri" w:hAnsi="Calibri" w:eastAsia="宋体" w:cs="Times New Roman"/>
                <w:color w:val="000000"/>
                <w:highlight w:val="none"/>
                <w:u w:val="single"/>
                <w:shd w:val="clear" w:color="auto" w:fill="auto"/>
              </w:rPr>
              <w:fldChar w:fldCharType="end"/>
            </w:r>
            <w:r>
              <w:rPr>
                <w:rFonts w:ascii="宋体" w:hAnsi="宋体" w:eastAsia="宋体" w:cs="Times New Roman"/>
                <w:szCs w:val="21"/>
                <w:highlight w:val="none"/>
                <w:shd w:val="clear" w:color="auto" w:fill="auto"/>
              </w:rPr>
              <w:t>）、中国招标投标公共服务平台（</w:t>
            </w:r>
            <w:r>
              <w:rPr>
                <w:rFonts w:ascii="Calibri" w:hAnsi="Calibri" w:eastAsia="宋体" w:cs="Times New Roman"/>
                <w:color w:val="000000"/>
                <w:highlight w:val="none"/>
                <w:u w:val="single"/>
                <w:shd w:val="clear" w:color="auto" w:fill="auto"/>
              </w:rPr>
              <w:t>www.cebpubservice.com）</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公示期限：不少于</w:t>
            </w:r>
            <w:r>
              <w:rPr>
                <w:rFonts w:hint="eastAsia" w:ascii="宋体" w:hAnsi="宋体" w:eastAsia="宋体" w:cs="Times New Roman"/>
                <w:szCs w:val="21"/>
                <w:highlight w:val="none"/>
                <w:shd w:val="clear" w:color="auto" w:fill="auto"/>
              </w:rPr>
              <w:t>1</w:t>
            </w:r>
            <w:r>
              <w:rPr>
                <w:rFonts w:ascii="宋体" w:hAnsi="宋体" w:eastAsia="宋体" w:cs="Times New Roman"/>
                <w:szCs w:val="21"/>
                <w:highlight w:val="none"/>
                <w:shd w:val="clear" w:color="auto" w:fill="auto"/>
              </w:rPr>
              <w:t>个</w:t>
            </w:r>
            <w:r>
              <w:rPr>
                <w:rFonts w:hint="eastAsia" w:ascii="宋体" w:hAnsi="宋体" w:eastAsia="宋体" w:cs="Times New Roman"/>
                <w:szCs w:val="21"/>
                <w:highlight w:val="none"/>
                <w:shd w:val="clear" w:color="auto" w:fill="auto"/>
              </w:rPr>
              <w:t>工作</w:t>
            </w:r>
            <w:r>
              <w:rPr>
                <w:rFonts w:ascii="宋体" w:hAnsi="宋体" w:eastAsia="宋体" w:cs="Times New Roman"/>
                <w:szCs w:val="21"/>
                <w:highlight w:val="none"/>
                <w:shd w:val="clear" w:color="auto" w:fil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7.4</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是否授权评标委员会确定中标人</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□是</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7.5</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highlight w:val="none"/>
                <w:shd w:val="clear" w:color="auto" w:fill="auto"/>
              </w:rPr>
              <w:t>中标通知</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在本章第3.3款规定的投标有效期内，招标人以书面形式向中标人发出中标通知书，同时将中标结果进行公示。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7.6.1</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履约保证金</w:t>
            </w:r>
          </w:p>
        </w:tc>
        <w:tc>
          <w:tcPr>
            <w:tcW w:w="2857" w:type="pct"/>
            <w:vAlign w:val="center"/>
          </w:tcPr>
          <w:p>
            <w:pPr>
              <w:pStyle w:val="14"/>
              <w:topLinePunct/>
              <w:spacing w:before="0" w:after="0" w:line="240" w:lineRule="auto"/>
              <w:rPr>
                <w:rFonts w:ascii="宋体" w:hAnsi="宋体" w:eastAsia="宋体" w:cs="Times New Roman"/>
                <w:sz w:val="21"/>
                <w:szCs w:val="21"/>
                <w:highlight w:val="none"/>
                <w:shd w:val="clear" w:color="auto" w:fill="auto"/>
              </w:rPr>
            </w:pPr>
            <w:r>
              <w:rPr>
                <w:rFonts w:ascii="宋体" w:hAnsi="宋体" w:eastAsia="宋体" w:cs="Times New Roman"/>
                <w:sz w:val="21"/>
                <w:szCs w:val="21"/>
                <w:highlight w:val="none"/>
                <w:shd w:val="clear" w:color="auto" w:fill="auto"/>
              </w:rPr>
              <w:t>是否要求中标人提交履约保证金：</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□要求，履约保证金的形式：保证金或保函</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履约保证金的金额：合同金额的</w:t>
            </w:r>
            <w:r>
              <w:rPr>
                <w:rFonts w:hint="eastAsia" w:ascii="宋体" w:hAnsi="宋体" w:eastAsia="宋体" w:cs="Times New Roman"/>
                <w:szCs w:val="21"/>
                <w:highlight w:val="none"/>
                <w:u w:val="single"/>
                <w:shd w:val="clear" w:color="auto" w:fill="auto"/>
              </w:rPr>
              <w:t xml:space="preserve">  </w:t>
            </w:r>
            <w:r>
              <w:rPr>
                <w:rFonts w:ascii="宋体" w:hAnsi="宋体" w:eastAsia="宋体" w:cs="Times New Roman"/>
                <w:szCs w:val="21"/>
                <w:highlight w:val="none"/>
                <w:shd w:val="clear" w:color="auto" w:fill="auto"/>
              </w:rPr>
              <w:t>%</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 xml:space="preserve">特别提醒： </w:t>
            </w:r>
          </w:p>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9</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是否采用电子招标投标</w:t>
            </w:r>
          </w:p>
        </w:tc>
        <w:tc>
          <w:tcPr>
            <w:tcW w:w="2857" w:type="pct"/>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■是，具体要求：见招标公告第8条相关说明、投标须知前附表及须知及投标须知前附表适用条款。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w:t>
            </w:r>
          </w:p>
        </w:tc>
        <w:tc>
          <w:tcPr>
            <w:tcW w:w="1714" w:type="pct"/>
            <w:gridSpan w:val="2"/>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需要补充的其他内容</w:t>
            </w:r>
          </w:p>
        </w:tc>
        <w:tc>
          <w:tcPr>
            <w:tcW w:w="2857" w:type="pct"/>
            <w:vAlign w:val="center"/>
          </w:tcPr>
          <w:p>
            <w:pPr>
              <w:spacing w:before="0" w:after="0"/>
              <w:jc w:val="left"/>
              <w:rPr>
                <w:rFonts w:ascii="宋体" w:hAnsi="宋体" w:eastAsia="宋体" w:cs="Times New Roman"/>
                <w:szCs w:val="21"/>
                <w:highlight w:val="none"/>
                <w:shd w:val="clear" w:color="auto" w:fill="auto"/>
              </w:rPr>
            </w:pPr>
            <w:r>
              <w:rPr>
                <w:rFonts w:hint="eastAsia" w:ascii="宋体" w:hAnsi="宋体" w:eastAsia="宋体" w:cs="Times New Roman"/>
                <w:szCs w:val="21"/>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10.1</w:t>
            </w:r>
          </w:p>
        </w:tc>
        <w:tc>
          <w:tcPr>
            <w:tcW w:w="4571" w:type="pct"/>
            <w:gridSpan w:val="3"/>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招标人或监督部门有权通过大数据系统对投标全过程进行核验、分析。若发现投标人存在串通投标、弄虚作假行为，将取消本次投标资格，并将其不良行为通报有关部门。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10.2</w:t>
            </w:r>
          </w:p>
        </w:tc>
        <w:tc>
          <w:tcPr>
            <w:tcW w:w="4571" w:type="pct"/>
            <w:gridSpan w:val="3"/>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招标文件中</w:t>
            </w:r>
            <w:r>
              <w:rPr>
                <w:rFonts w:ascii="宋体" w:hAnsi="宋体" w:eastAsia="宋体" w:cs="Times New Roman"/>
                <w:color w:val="000000"/>
                <w:szCs w:val="21"/>
                <w:highlight w:val="none"/>
                <w:shd w:val="clear" w:color="auto" w:fill="auto"/>
              </w:rPr>
              <w:t>“近三年”</w:t>
            </w:r>
            <w:r>
              <w:rPr>
                <w:rFonts w:ascii="宋体" w:hAnsi="宋体" w:eastAsia="宋体" w:cs="Times New Roman"/>
                <w:szCs w:val="21"/>
                <w:highlight w:val="none"/>
                <w:shd w:val="clear" w:color="auto" w:fill="auto"/>
              </w:rPr>
              <w:t>是指：投标截止日往前倒推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10.3</w:t>
            </w:r>
          </w:p>
        </w:tc>
        <w:tc>
          <w:tcPr>
            <w:tcW w:w="4571" w:type="pct"/>
            <w:gridSpan w:val="3"/>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招标文件所有关于“书面”及其相关描述均指通过电子采购平台产生的数据电文，具有法律效力。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10.4</w:t>
            </w:r>
          </w:p>
        </w:tc>
        <w:tc>
          <w:tcPr>
            <w:tcW w:w="4571" w:type="pct"/>
            <w:gridSpan w:val="3"/>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投标人通过电子采购平台进行的任何操作，均代表该投标人的企业行为，具有法律约束力。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10.5</w:t>
            </w:r>
          </w:p>
        </w:tc>
        <w:tc>
          <w:tcPr>
            <w:tcW w:w="4571" w:type="pct"/>
            <w:gridSpan w:val="3"/>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kern w:val="0"/>
                <w:szCs w:val="21"/>
                <w:highlight w:val="none"/>
                <w:shd w:val="clear" w:color="auto" w:fill="auto"/>
              </w:rPr>
              <w:t>对与本项目有关的通知，招标代理机构将通过</w:t>
            </w:r>
            <w:r>
              <w:rPr>
                <w:rFonts w:ascii="宋体" w:hAnsi="宋体" w:eastAsia="宋体" w:cs="Times New Roman"/>
                <w:szCs w:val="21"/>
                <w:highlight w:val="none"/>
                <w:shd w:val="clear" w:color="auto" w:fill="auto"/>
              </w:rPr>
              <w:t>电子采购平台</w:t>
            </w:r>
            <w:r>
              <w:rPr>
                <w:rFonts w:ascii="宋体" w:hAnsi="宋体" w:eastAsia="宋体" w:cs="Times New Roman"/>
                <w:kern w:val="0"/>
                <w:szCs w:val="21"/>
                <w:highlight w:val="none"/>
                <w:shd w:val="clear" w:color="auto" w:fill="auto"/>
              </w:rPr>
              <w:t>送达所有与通知有关的已登记并购买了招标文件的投标人，投标人应及时登陆平台系统进行查看，未及时查看而造成的相关影响由投标人自行承担。</w:t>
            </w:r>
            <w:r>
              <w:rPr>
                <w:rFonts w:ascii="宋体" w:hAnsi="宋体" w:eastAsia="宋体" w:cs="Times New Roman"/>
                <w:szCs w:val="21"/>
                <w:highlight w:val="none"/>
                <w:shd w:val="clear" w:color="auto" w:fill="auto"/>
              </w:rPr>
              <w:t>投标人因自身原因未及时获知交易平台有关澄清、通知等信息，未及时完成交易平台相关流程的操作等而导致的任何后果将由投标人自行承担。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10.6</w:t>
            </w:r>
          </w:p>
        </w:tc>
        <w:tc>
          <w:tcPr>
            <w:tcW w:w="4571" w:type="pct"/>
            <w:gridSpan w:val="3"/>
            <w:vAlign w:val="center"/>
          </w:tcPr>
          <w:p>
            <w:pPr>
              <w:spacing w:before="0" w:after="0"/>
              <w:rPr>
                <w:rFonts w:ascii="宋体" w:hAnsi="宋体" w:eastAsia="宋体" w:cs="Times New Roman"/>
                <w:szCs w:val="21"/>
                <w:highlight w:val="none"/>
                <w:shd w:val="clear" w:color="auto" w:fill="auto"/>
              </w:rPr>
            </w:pPr>
            <w:r>
              <w:rPr>
                <w:rFonts w:ascii="宋体" w:hAnsi="宋体" w:eastAsia="宋体" w:cs="Times New Roman"/>
                <w:kern w:val="0"/>
                <w:szCs w:val="21"/>
                <w:highlight w:val="none"/>
                <w:shd w:val="clear" w:color="auto" w:fill="auto"/>
              </w:rPr>
              <w:t>如因系统故障等非投标人原因，导致开标不能正常进行，招标人将另行通知开标时间。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10.7</w:t>
            </w:r>
          </w:p>
        </w:tc>
        <w:tc>
          <w:tcPr>
            <w:tcW w:w="4571" w:type="pct"/>
            <w:gridSpan w:val="3"/>
            <w:vAlign w:val="center"/>
          </w:tcPr>
          <w:p>
            <w:pPr>
              <w:spacing w:before="0" w:after="0"/>
              <w:jc w:val="left"/>
              <w:rPr>
                <w:rFonts w:hint="eastAsia" w:ascii="宋体" w:hAnsi="宋体" w:cs="Times New Roman" w:eastAsiaTheme="minorEastAsia"/>
                <w:szCs w:val="21"/>
                <w:highlight w:val="none"/>
                <w:shd w:val="clear" w:color="auto" w:fill="auto"/>
                <w:lang w:eastAsia="zh-CN"/>
              </w:rPr>
            </w:pPr>
            <w:r>
              <w:rPr>
                <w:rFonts w:ascii="宋体" w:hAnsi="宋体"/>
                <w:szCs w:val="21"/>
                <w:highlight w:val="none"/>
                <w:shd w:val="clear" w:color="auto" w:fill="auto"/>
              </w:rPr>
              <w:t>招标代理服务费由中标人在收到中标通知书时向招标代理机构直接支付，费用包含在其投标总报价中，不单独计列。招标代理服务费具体金额或计算办法为国家计委关于印发《招标代理服务费管理暂行办法》的通知（计价格[2002]1980号）和发改办价格[2003]857号《国家发展改革委办公厅关于招标代理服务费有关问题的通知》标准</w:t>
            </w:r>
            <w:r>
              <w:rPr>
                <w:rFonts w:hint="eastAsia" w:ascii="宋体" w:hAnsi="宋体"/>
                <w:szCs w:val="21"/>
                <w:highlight w:val="none"/>
                <w:shd w:val="clear" w:color="auto" w:fill="auto"/>
              </w:rPr>
              <w:t>的38%</w:t>
            </w:r>
            <w:r>
              <w:rPr>
                <w:rFonts w:hint="eastAsia" w:ascii="宋体" w:hAnsi="宋体"/>
                <w:szCs w:val="21"/>
                <w:highlight w:val="none"/>
                <w:shd w:val="clear" w:color="auto" w:fill="auto"/>
                <w:lang w:eastAsia="zh-CN"/>
              </w:rPr>
              <w:t>。</w:t>
            </w:r>
          </w:p>
          <w:p>
            <w:pPr>
              <w:spacing w:before="0" w:after="0"/>
              <w:jc w:val="left"/>
              <w:rPr>
                <w:rFonts w:ascii="宋体" w:hAnsi="宋体" w:eastAsia="宋体" w:cs="Times New Roman"/>
                <w:szCs w:val="21"/>
                <w:highlight w:val="none"/>
                <w:shd w:val="clear" w:color="auto" w:fill="auto"/>
              </w:rPr>
            </w:pPr>
            <w:r>
              <w:rPr>
                <w:rFonts w:hint="eastAsia" w:ascii="宋体" w:hAnsi="宋体" w:eastAsia="宋体" w:cs="Times New Roman"/>
                <w:szCs w:val="21"/>
                <w:highlight w:val="none"/>
                <w:shd w:val="clear" w:color="auto" w:fill="auto"/>
              </w:rPr>
              <w:t>本项目属于 □工程 ■货物 □服务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10.8</w:t>
            </w:r>
          </w:p>
        </w:tc>
        <w:tc>
          <w:tcPr>
            <w:tcW w:w="4571" w:type="pct"/>
            <w:gridSpan w:val="3"/>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中标人在电子采购平台接收中标通知书后，</w:t>
            </w:r>
            <w:r>
              <w:rPr>
                <w:rFonts w:hint="eastAsia" w:ascii="宋体" w:hAnsi="宋体" w:eastAsia="宋体" w:cs="Times New Roman"/>
                <w:szCs w:val="21"/>
                <w:highlight w:val="none"/>
                <w:shd w:val="clear" w:color="auto" w:fill="auto"/>
              </w:rPr>
              <w:t>向招标代理机构</w:t>
            </w:r>
            <w:r>
              <w:rPr>
                <w:rFonts w:ascii="宋体" w:hAnsi="宋体" w:eastAsia="宋体" w:cs="Times New Roman"/>
                <w:szCs w:val="21"/>
                <w:highlight w:val="none"/>
                <w:shd w:val="clear" w:color="auto" w:fill="auto"/>
              </w:rPr>
              <w:t>申请开具招标代理服务费发票。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before="0" w:after="0"/>
              <w:jc w:val="center"/>
              <w:rPr>
                <w:rFonts w:ascii="宋体" w:hAnsi="宋体" w:eastAsia="宋体" w:cs="Times New Roman"/>
                <w:szCs w:val="21"/>
                <w:highlight w:val="none"/>
                <w:shd w:val="clear" w:color="auto" w:fill="auto"/>
              </w:rPr>
            </w:pPr>
            <w:r>
              <w:rPr>
                <w:rFonts w:ascii="宋体" w:hAnsi="宋体" w:eastAsia="宋体" w:cs="Times New Roman"/>
                <w:szCs w:val="21"/>
                <w:highlight w:val="none"/>
                <w:shd w:val="clear" w:color="auto" w:fill="auto"/>
              </w:rPr>
              <w:t>10.9</w:t>
            </w:r>
          </w:p>
        </w:tc>
        <w:tc>
          <w:tcPr>
            <w:tcW w:w="4571" w:type="pct"/>
            <w:gridSpan w:val="3"/>
            <w:vAlign w:val="center"/>
          </w:tcPr>
          <w:p>
            <w:pPr>
              <w:spacing w:before="0" w:after="0"/>
              <w:jc w:val="left"/>
              <w:rPr>
                <w:rFonts w:ascii="宋体" w:hAnsi="宋体" w:eastAsia="宋体" w:cs="Times New Roman"/>
                <w:szCs w:val="21"/>
                <w:highlight w:val="none"/>
                <w:shd w:val="clear" w:color="auto" w:fill="auto"/>
              </w:rPr>
            </w:pPr>
            <w:r>
              <w:rPr>
                <w:rFonts w:ascii="宋体" w:hAnsi="宋体" w:eastAsia="宋体" w:cs="Times New Roman"/>
                <w:b/>
                <w:szCs w:val="21"/>
                <w:highlight w:val="none"/>
                <w:shd w:val="clear" w:color="auto" w:fill="auto"/>
                <w:lang w:val="zh-CN"/>
              </w:rPr>
              <w:t>投标人必须保证投标文件所提供的全部资料真实可靠，并接受招标方对其中任何资料在合同最终授予前进一步审查的要求，如若存在投标人利用弄虚作假等不当手段谋取中标的，一经查实，招标人有权予以否决，并保留进一步追究其责任的权利</w:t>
            </w:r>
            <w:r>
              <w:rPr>
                <w:rFonts w:ascii="宋体" w:hAnsi="宋体" w:eastAsia="宋体" w:cs="Times New Roman"/>
                <w:szCs w:val="21"/>
                <w:highlight w:val="none"/>
                <w:shd w:val="clear" w:color="auto" w:fill="auto"/>
                <w:lang w:val="zh-CN"/>
              </w:rPr>
              <w:t>。</w:t>
            </w:r>
          </w:p>
        </w:tc>
      </w:tr>
    </w:tbl>
    <w:p>
      <w:pPr>
        <w:pStyle w:val="86"/>
        <w:adjustRightInd w:val="0"/>
        <w:snapToGrid w:val="0"/>
        <w:spacing w:before="0" w:afterLines="0" w:line="240" w:lineRule="auto"/>
        <w:ind w:hanging="425" w:firstLineChars="0"/>
        <w:rPr>
          <w:rFonts w:ascii="Times New Roman" w:hAnsi="Times New Roman" w:cs="Times New Roman"/>
          <w:sz w:val="21"/>
          <w:highlight w:val="none"/>
          <w:shd w:val="clear" w:color="auto" w:fill="auto"/>
        </w:rPr>
      </w:pPr>
      <w:r>
        <w:rPr>
          <w:rFonts w:ascii="Times New Roman" w:hAnsi="Times New Roman" w:cs="Times New Roman"/>
          <w:sz w:val="21"/>
          <w:highlight w:val="none"/>
          <w:shd w:val="clear" w:color="auto" w:fill="auto"/>
        </w:rPr>
        <w:t>备注：1、投标须知前附表是对投标人须知的具体补充和修改，如有矛盾，应以本表为准。</w:t>
      </w:r>
    </w:p>
    <w:p>
      <w:pPr>
        <w:pStyle w:val="86"/>
        <w:adjustRightInd w:val="0"/>
        <w:snapToGrid w:val="0"/>
        <w:spacing w:before="0" w:afterLines="0" w:line="240" w:lineRule="auto"/>
        <w:ind w:left="105" w:leftChars="50" w:firstLine="105" w:firstLineChars="50"/>
        <w:rPr>
          <w:rFonts w:ascii="Times New Roman" w:hAnsi="Times New Roman" w:cs="Times New Roman"/>
          <w:sz w:val="21"/>
          <w:highlight w:val="none"/>
          <w:shd w:val="clear" w:color="auto" w:fill="auto"/>
        </w:rPr>
      </w:pPr>
      <w:r>
        <w:rPr>
          <w:rFonts w:ascii="Times New Roman" w:hAnsi="Times New Roman" w:cs="Times New Roman"/>
          <w:sz w:val="21"/>
          <w:highlight w:val="none"/>
          <w:shd w:val="clear" w:color="auto" w:fill="auto"/>
        </w:rPr>
        <w:t>2、投标须知中所述“电子招标投标交易平台”均指“电子采购平台”。</w:t>
      </w:r>
      <w:bookmarkStart w:id="67" w:name="_Toc505439850"/>
      <w:bookmarkStart w:id="68" w:name="_Toc508806337"/>
      <w:bookmarkStart w:id="69" w:name="_Toc532285460"/>
    </w:p>
    <w:p>
      <w:pPr>
        <w:widowControl/>
        <w:spacing w:beforeLines="50" w:afterLines="50" w:line="360" w:lineRule="auto"/>
        <w:outlineLvl w:val="1"/>
        <w:rPr>
          <w:rFonts w:ascii="Times New Roman" w:hAnsi="Times New Roman" w:cs="Times New Roman"/>
          <w:b/>
          <w:szCs w:val="21"/>
          <w:highlight w:val="none"/>
          <w:shd w:val="clear" w:color="auto" w:fill="auto"/>
        </w:rPr>
      </w:pPr>
      <w:r>
        <w:rPr>
          <w:rFonts w:ascii="Times New Roman" w:hAnsi="Times New Roman" w:cs="Times New Roman"/>
          <w:highlight w:val="none"/>
          <w:shd w:val="clear" w:color="auto" w:fill="auto"/>
        </w:rPr>
        <w:br w:type="page"/>
      </w:r>
      <w:bookmarkEnd w:id="67"/>
      <w:bookmarkEnd w:id="68"/>
      <w:bookmarkEnd w:id="69"/>
      <w:bookmarkStart w:id="70" w:name="_Toc60646633"/>
      <w:bookmarkStart w:id="71" w:name="_Toc501460599"/>
      <w:r>
        <w:rPr>
          <w:rFonts w:ascii="Times New Roman" w:hAnsi="Times New Roman" w:eastAsia="黑体" w:cs="Times New Roman"/>
          <w:b/>
          <w:color w:val="000000"/>
          <w:sz w:val="32"/>
          <w:highlight w:val="none"/>
          <w:shd w:val="clear" w:color="auto" w:fill="auto"/>
        </w:rPr>
        <w:t>1.总则</w:t>
      </w:r>
      <w:bookmarkEnd w:id="70"/>
      <w:bookmarkEnd w:id="71"/>
    </w:p>
    <w:p>
      <w:pPr>
        <w:pStyle w:val="168"/>
        <w:spacing w:before="0" w:after="0" w:line="360" w:lineRule="auto"/>
        <w:outlineLvl w:val="2"/>
        <w:rPr>
          <w:rFonts w:eastAsia="黑体"/>
          <w:b/>
          <w:sz w:val="28"/>
          <w:szCs w:val="28"/>
          <w:highlight w:val="none"/>
          <w:shd w:val="clear" w:color="auto" w:fill="auto"/>
        </w:rPr>
      </w:pPr>
      <w:bookmarkStart w:id="72" w:name="_Toc501460600"/>
      <w:r>
        <w:rPr>
          <w:rFonts w:eastAsia="黑体"/>
          <w:b/>
          <w:sz w:val="28"/>
          <w:szCs w:val="28"/>
          <w:highlight w:val="none"/>
          <w:shd w:val="clear" w:color="auto" w:fill="auto"/>
        </w:rPr>
        <w:t>1.1 招标项目概况</w:t>
      </w:r>
      <w:bookmarkEnd w:id="72"/>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1.1.1 根据《中华人民共和国招标投标法》《中华人民共和国招标投标法实施条例》等有关法律、法规和规章的规定，本招标项目已具备招标条件，现对货物采购进行招标。</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1.1.2 招标人：见投标人须知前附表。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1.1.3 招标代理机构：见投标人须知前附表。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1.1.4招标项目名称：见投标人须知前附表。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1.1.5</w:t>
      </w:r>
      <w:bookmarkStart w:id="73" w:name="_Toc501460601"/>
      <w:r>
        <w:rPr>
          <w:rFonts w:ascii="Times New Roman" w:hAnsi="Times New Roman" w:cs="Times New Roman"/>
          <w:kern w:val="0"/>
          <w:szCs w:val="21"/>
          <w:highlight w:val="none"/>
          <w:shd w:val="clear" w:color="auto" w:fill="auto"/>
        </w:rPr>
        <w:t>工程项目名称：即招标项目所属的工程建设项目，见投标人须知前附表。</w:t>
      </w:r>
    </w:p>
    <w:p>
      <w:pPr>
        <w:pStyle w:val="168"/>
        <w:spacing w:before="0" w:after="0" w:line="360" w:lineRule="auto"/>
        <w:outlineLvl w:val="2"/>
        <w:rPr>
          <w:rFonts w:eastAsia="黑体"/>
          <w:b/>
          <w:sz w:val="28"/>
          <w:szCs w:val="28"/>
          <w:highlight w:val="none"/>
          <w:shd w:val="clear" w:color="auto" w:fill="auto"/>
        </w:rPr>
      </w:pPr>
      <w:r>
        <w:rPr>
          <w:rFonts w:eastAsia="黑体"/>
          <w:b/>
          <w:sz w:val="28"/>
          <w:szCs w:val="28"/>
          <w:highlight w:val="none"/>
          <w:shd w:val="clear" w:color="auto" w:fill="auto"/>
        </w:rPr>
        <w:t>1.2 招标项目的资金来源和落实情况</w:t>
      </w:r>
      <w:bookmarkEnd w:id="73"/>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1.2.1 资金来源及比例：见投标人须知前附表。</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1.2.2 资金落实情况：见投标人须知前附表。</w:t>
      </w:r>
    </w:p>
    <w:p>
      <w:pPr>
        <w:pStyle w:val="168"/>
        <w:spacing w:before="0" w:after="0" w:line="360" w:lineRule="auto"/>
        <w:outlineLvl w:val="2"/>
        <w:rPr>
          <w:rFonts w:eastAsia="黑体"/>
          <w:b/>
          <w:sz w:val="28"/>
          <w:szCs w:val="28"/>
          <w:highlight w:val="none"/>
          <w:shd w:val="clear" w:color="auto" w:fill="auto"/>
        </w:rPr>
      </w:pPr>
      <w:bookmarkStart w:id="74" w:name="_Toc501460602"/>
      <w:r>
        <w:rPr>
          <w:rFonts w:eastAsia="黑体"/>
          <w:b/>
          <w:sz w:val="28"/>
          <w:szCs w:val="28"/>
          <w:highlight w:val="none"/>
          <w:shd w:val="clear" w:color="auto" w:fill="auto"/>
        </w:rPr>
        <w:t>1.3 招标范围、交货期、交货地点和质量标准</w:t>
      </w:r>
      <w:bookmarkEnd w:id="74"/>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1.3.1 招标范围：见投标人须知前附表。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1.3.2 交货期：见投标人须知前附表。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1.3.3 交货地点：见投标人须知前附表。</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1.3.4 质量标准：见投标人须知前附表。</w:t>
      </w:r>
    </w:p>
    <w:p>
      <w:pPr>
        <w:pStyle w:val="168"/>
        <w:spacing w:before="0" w:after="0" w:line="360" w:lineRule="auto"/>
        <w:outlineLvl w:val="2"/>
        <w:rPr>
          <w:rFonts w:eastAsia="黑体"/>
          <w:b/>
          <w:sz w:val="28"/>
          <w:szCs w:val="28"/>
          <w:highlight w:val="none"/>
          <w:shd w:val="clear" w:color="auto" w:fill="auto"/>
        </w:rPr>
      </w:pPr>
      <w:bookmarkStart w:id="75" w:name="_Toc501460603"/>
      <w:r>
        <w:rPr>
          <w:rFonts w:eastAsia="黑体"/>
          <w:b/>
          <w:sz w:val="28"/>
          <w:szCs w:val="28"/>
          <w:highlight w:val="none"/>
          <w:shd w:val="clear" w:color="auto" w:fill="auto"/>
        </w:rPr>
        <w:t>1.4 投标人资格要求</w:t>
      </w:r>
      <w:bookmarkEnd w:id="75"/>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1.4.1 投标人应具备承担本招标项目的资质条件、能力和信誉：</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（1）资质要求：见投标人须知前附表；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（2）财务要求：见投标人须知前附表；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（3）业绩要求：见投标人须知前附表；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（4）信誉要求：见投标人须知前附表；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（5）其他要求：见投标人须知前附表。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投标人为代理经销商的，对投标人的资质要求包含对制造商的资质要求，对投标人的业绩要求包含对投标材料的业绩要求。</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需要提交的相关证明材料见本章第3.5款的规定。</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1.4.2 投标人须知前附表规定接受联合体投标的，联合体除应符合本章第1.4.1项和投标人须知前附表的要求外，还应遵守以下规定：</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（1）联合体各方应按招标文件提供的格式签订联合体协议书，明确联合体牵头人和各方权利义务，并承诺就中标项目向招标人承担连带责任；</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（2）由同一专业的单位组成的联合体，按照资质等级较低的单位确定资质等级；</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（3）联合体各方不得再以自己名义单独或参加其他联合体在本招标项目中投标，否则各相关投标均无效。</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1.4.3 投标人不得存在下列情形之一：</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（1）与招标人存在利害关系且可能影响招标公正性；</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（2）与本招标项目的其他投标人为同一个单位负责人；</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（3）与本招标项目的其他投标人存在控股、管理关系；</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（4）与本招标项目其他投标人代理同一个制造商同一品牌同一型号的货物投标；</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（5）为本招标项目提供过设计、编制技术规范和其他文件的咨询服务；</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（6）为本工程项目的监理人，或者与本工程项目的监理人存在隶属关系或者其他利害关系；</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（7）为本招标项目的代建人；</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（8）为本招标项目的招标代理机构；</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（9）与本工程项目的监理人或本招标项目的代建人或招标代理机构同为一个法定代表人；</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（10）与本工程项目的监理人或本招标项目的代建人或招标代理机构存在控股或参股关系；</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（11）被依法暂停或者取消投标资格；</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（12）被责令停产停业，暂扣或者吊销许可证，暂扣或者吊销执照；</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（13）进入清算程序，或被宣告破产，或其他丧失履约能力的情形；</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（14）在近三年内发生重大产品质量问题（以相关行业主管部门的行政处罚决定或司法机关出具的有关法律文书为准）；</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（15）被工商行政管理机关在全国企业信用信息公示系统中列入严重违法失信企业名单；</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（16）被最高人民法院在“信用中国”网站（www.creditchina.gov.cn）或各级信用信息共享平台中列入失信被执行人名单；</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（17）在近三年内投标人或其法定代表人（单位负责人）有行贿犯罪行为的（以检察机关职务犯罪预防部门出具的查询结果为准）；</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（18）法律法规或投标人须知前附表规定的其他情形。</w:t>
      </w:r>
    </w:p>
    <w:p>
      <w:pPr>
        <w:pStyle w:val="168"/>
        <w:spacing w:before="0" w:after="0" w:line="360" w:lineRule="auto"/>
        <w:outlineLvl w:val="2"/>
        <w:rPr>
          <w:rFonts w:eastAsia="黑体"/>
          <w:b/>
          <w:sz w:val="28"/>
          <w:szCs w:val="28"/>
          <w:highlight w:val="none"/>
          <w:shd w:val="clear" w:color="auto" w:fill="auto"/>
        </w:rPr>
      </w:pPr>
      <w:bookmarkStart w:id="76" w:name="_Toc501460604"/>
      <w:r>
        <w:rPr>
          <w:rFonts w:eastAsia="黑体"/>
          <w:b/>
          <w:sz w:val="28"/>
          <w:szCs w:val="28"/>
          <w:highlight w:val="none"/>
          <w:shd w:val="clear" w:color="auto" w:fill="auto"/>
        </w:rPr>
        <w:t>1.5 费用承担</w:t>
      </w:r>
      <w:bookmarkEnd w:id="76"/>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投标人准备和参加投标活动发生的费用自理。</w:t>
      </w:r>
    </w:p>
    <w:p>
      <w:pPr>
        <w:pStyle w:val="168"/>
        <w:spacing w:before="0" w:after="0" w:line="360" w:lineRule="auto"/>
        <w:outlineLvl w:val="2"/>
        <w:rPr>
          <w:rFonts w:eastAsia="黑体"/>
          <w:b/>
          <w:sz w:val="28"/>
          <w:szCs w:val="28"/>
          <w:highlight w:val="none"/>
          <w:shd w:val="clear" w:color="auto" w:fill="auto"/>
        </w:rPr>
      </w:pPr>
      <w:bookmarkStart w:id="77" w:name="_Toc501460605"/>
      <w:r>
        <w:rPr>
          <w:rFonts w:eastAsia="黑体"/>
          <w:b/>
          <w:sz w:val="28"/>
          <w:szCs w:val="28"/>
          <w:highlight w:val="none"/>
          <w:shd w:val="clear" w:color="auto" w:fill="auto"/>
        </w:rPr>
        <w:t>1.6 保密</w:t>
      </w:r>
      <w:bookmarkEnd w:id="77"/>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参与招标投标活动的各方应对招标文件和投标文件中</w:t>
      </w:r>
      <w:bookmarkStart w:id="78" w:name="_Toc369531519"/>
      <w:bookmarkStart w:id="79" w:name="_Toc384308214"/>
      <w:bookmarkStart w:id="80" w:name="_Toc361508589"/>
      <w:bookmarkStart w:id="81" w:name="_Toc5326"/>
      <w:bookmarkStart w:id="82" w:name="_Toc352691477"/>
      <w:r>
        <w:rPr>
          <w:rFonts w:ascii="Times New Roman" w:hAnsi="Times New Roman" w:cs="Times New Roman"/>
          <w:kern w:val="0"/>
          <w:szCs w:val="21"/>
          <w:highlight w:val="none"/>
          <w:shd w:val="clear" w:color="auto" w:fill="auto"/>
        </w:rPr>
        <w:t>的商业和技术等秘密保密</w:t>
      </w:r>
      <w:bookmarkEnd w:id="78"/>
      <w:bookmarkEnd w:id="79"/>
      <w:bookmarkEnd w:id="80"/>
      <w:bookmarkEnd w:id="81"/>
      <w:bookmarkEnd w:id="82"/>
      <w:r>
        <w:rPr>
          <w:rFonts w:ascii="Times New Roman" w:hAnsi="Times New Roman" w:cs="Times New Roman"/>
          <w:kern w:val="0"/>
          <w:szCs w:val="21"/>
          <w:highlight w:val="none"/>
          <w:shd w:val="clear" w:color="auto" w:fill="auto"/>
        </w:rPr>
        <w:t>，否则应承担相应的法律</w:t>
      </w:r>
      <w:r>
        <w:rPr>
          <w:rFonts w:ascii="Times New Roman" w:hAnsi="Times New Roman" w:cs="Times New Roman"/>
          <w:szCs w:val="21"/>
          <w:highlight w:val="none"/>
          <w:shd w:val="clear" w:color="auto" w:fill="auto"/>
        </w:rPr>
        <w:t>责任。</w:t>
      </w:r>
    </w:p>
    <w:p>
      <w:pPr>
        <w:pStyle w:val="168"/>
        <w:spacing w:before="0" w:after="0" w:line="360" w:lineRule="auto"/>
        <w:outlineLvl w:val="2"/>
        <w:rPr>
          <w:rFonts w:eastAsia="黑体"/>
          <w:b/>
          <w:sz w:val="28"/>
          <w:szCs w:val="28"/>
          <w:highlight w:val="none"/>
          <w:shd w:val="clear" w:color="auto" w:fill="auto"/>
        </w:rPr>
      </w:pPr>
      <w:bookmarkStart w:id="83" w:name="_Toc501460606"/>
      <w:r>
        <w:rPr>
          <w:rFonts w:eastAsia="黑体"/>
          <w:b/>
          <w:sz w:val="28"/>
          <w:szCs w:val="28"/>
          <w:highlight w:val="none"/>
          <w:shd w:val="clear" w:color="auto" w:fill="auto"/>
        </w:rPr>
        <w:t>1.7 语言文字</w:t>
      </w:r>
      <w:bookmarkEnd w:id="83"/>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招标投标文件使用的语言文字为中文。专用术语使用外文的，应附有中文注释。</w:t>
      </w:r>
    </w:p>
    <w:p>
      <w:pPr>
        <w:pStyle w:val="168"/>
        <w:spacing w:before="0" w:after="0" w:line="360" w:lineRule="auto"/>
        <w:outlineLvl w:val="2"/>
        <w:rPr>
          <w:rFonts w:eastAsia="黑体"/>
          <w:b/>
          <w:sz w:val="28"/>
          <w:szCs w:val="28"/>
          <w:highlight w:val="none"/>
          <w:shd w:val="clear" w:color="auto" w:fill="auto"/>
        </w:rPr>
      </w:pPr>
      <w:bookmarkStart w:id="84" w:name="_Toc501460607"/>
      <w:r>
        <w:rPr>
          <w:rFonts w:eastAsia="黑体"/>
          <w:b/>
          <w:sz w:val="28"/>
          <w:szCs w:val="28"/>
          <w:highlight w:val="none"/>
          <w:shd w:val="clear" w:color="auto" w:fill="auto"/>
        </w:rPr>
        <w:t>1.8 计量单位</w:t>
      </w:r>
      <w:bookmarkEnd w:id="84"/>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所有计量均采用中华人民共和国法定计量单位。</w:t>
      </w:r>
    </w:p>
    <w:p>
      <w:pPr>
        <w:pStyle w:val="168"/>
        <w:spacing w:before="0" w:after="0" w:line="360" w:lineRule="auto"/>
        <w:outlineLvl w:val="2"/>
        <w:rPr>
          <w:rFonts w:eastAsia="黑体"/>
          <w:b/>
          <w:sz w:val="28"/>
          <w:szCs w:val="28"/>
          <w:highlight w:val="none"/>
          <w:shd w:val="clear" w:color="auto" w:fill="auto"/>
        </w:rPr>
      </w:pPr>
      <w:bookmarkStart w:id="85" w:name="_Toc501460608"/>
      <w:r>
        <w:rPr>
          <w:rFonts w:eastAsia="黑体"/>
          <w:b/>
          <w:sz w:val="28"/>
          <w:szCs w:val="28"/>
          <w:highlight w:val="none"/>
          <w:shd w:val="clear" w:color="auto" w:fill="auto"/>
        </w:rPr>
        <w:t>1.9 投标预备会</w:t>
      </w:r>
      <w:bookmarkEnd w:id="85"/>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1.9.1 投标人须知前附表规定召开投标预备会的，招标人按投标人须知前附表规定的时间和地点召开投标预备会，澄清投标人提出的问题。</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1.9.2 投标人应按投标人须知前附表规定的时间和形式将提出的问题送达招标人，以便招标人在会议期间澄清。</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1.9.3 投标预备会后，招标人将对投标人所提问题的澄清，以投标人须知前附表规定的形式通知所有购买招标文件的投标人。该澄清内容为招标文件的组成部分。</w:t>
      </w:r>
    </w:p>
    <w:p>
      <w:pPr>
        <w:pStyle w:val="168"/>
        <w:spacing w:before="0" w:after="0" w:line="360" w:lineRule="auto"/>
        <w:outlineLvl w:val="2"/>
        <w:rPr>
          <w:rFonts w:eastAsia="黑体"/>
          <w:b/>
          <w:sz w:val="28"/>
          <w:szCs w:val="28"/>
          <w:highlight w:val="none"/>
          <w:shd w:val="clear" w:color="auto" w:fill="auto"/>
        </w:rPr>
      </w:pPr>
      <w:bookmarkStart w:id="86" w:name="_Toc501460609"/>
      <w:r>
        <w:rPr>
          <w:rFonts w:eastAsia="黑体"/>
          <w:b/>
          <w:sz w:val="28"/>
          <w:szCs w:val="28"/>
          <w:highlight w:val="none"/>
          <w:shd w:val="clear" w:color="auto" w:fill="auto"/>
        </w:rPr>
        <w:t>1.10 分包</w:t>
      </w:r>
      <w:bookmarkEnd w:id="86"/>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 xml:space="preserve">1.10.1 投标人拟在中标后将中标项目的非主体货物进行分包的，应符合投标人须知前附表规定的分包内容、分包金额和资质要求等限制性条件，除投标人须知前附表规定的非主体货物外，其他工作不得分包。 </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1.10.2中标人不得向他人转让中标项目，接受分包的人不得再次分包。中标人应当就分包项目向招标人负责，接受分包的人就分包项目承担连带责任。</w:t>
      </w:r>
    </w:p>
    <w:p>
      <w:pPr>
        <w:pStyle w:val="168"/>
        <w:spacing w:before="0" w:after="0" w:line="360" w:lineRule="auto"/>
        <w:outlineLvl w:val="2"/>
        <w:rPr>
          <w:rFonts w:eastAsia="黑体"/>
          <w:b/>
          <w:sz w:val="28"/>
          <w:szCs w:val="28"/>
          <w:highlight w:val="none"/>
          <w:shd w:val="clear" w:color="auto" w:fill="auto"/>
        </w:rPr>
      </w:pPr>
      <w:bookmarkStart w:id="87" w:name="_Toc501460610"/>
      <w:r>
        <w:rPr>
          <w:rFonts w:eastAsia="黑体"/>
          <w:b/>
          <w:sz w:val="28"/>
          <w:szCs w:val="28"/>
          <w:highlight w:val="none"/>
          <w:shd w:val="clear" w:color="auto" w:fill="auto"/>
        </w:rPr>
        <w:t>1.11 响应和偏差</w:t>
      </w:r>
      <w:bookmarkEnd w:id="87"/>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1.11.1投标文件应当对招标文件的实质性要求和条件作出满足性或更有利于招标人的响应，否则，投标人的投标将被否决。实质性要求和条件见投标人须知前附表。</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1.11.2 投标人应根据招标文件的要求提供投标货物质量标准的详细描述、技术支持资料及相关服务计划等内容以对招标文件作出响应。</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1.11.4 投标人须知前附表规定了可以偏差的范围和最高偏差项数的，偏差应当符合投标人须知前附表规定的偏差范围和最高项数，超出偏差范围和最高偏差项数的投标将被否决。</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1.11.5 投标文件对招标文件的全部偏差，均应在投标文件的商务和技术偏差表中列明，除列明的内容外，视为投标人响应招标文件的全部要求。</w:t>
      </w:r>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88" w:name="_Toc501460611"/>
      <w:bookmarkStart w:id="89" w:name="_Toc60646634"/>
      <w:r>
        <w:rPr>
          <w:rFonts w:ascii="Times New Roman" w:hAnsi="Times New Roman" w:eastAsia="黑体" w:cs="Times New Roman"/>
          <w:b/>
          <w:color w:val="000000"/>
          <w:sz w:val="32"/>
          <w:highlight w:val="none"/>
          <w:shd w:val="clear" w:color="auto" w:fill="auto"/>
        </w:rPr>
        <w:t>2.招标文件</w:t>
      </w:r>
      <w:bookmarkEnd w:id="88"/>
      <w:bookmarkEnd w:id="89"/>
    </w:p>
    <w:p>
      <w:pPr>
        <w:pStyle w:val="168"/>
        <w:spacing w:before="0" w:after="0" w:line="360" w:lineRule="auto"/>
        <w:outlineLvl w:val="2"/>
        <w:rPr>
          <w:rFonts w:eastAsia="黑体"/>
          <w:b/>
          <w:sz w:val="28"/>
          <w:szCs w:val="28"/>
          <w:highlight w:val="none"/>
          <w:shd w:val="clear" w:color="auto" w:fill="auto"/>
        </w:rPr>
      </w:pPr>
      <w:bookmarkStart w:id="90" w:name="_Toc501460612"/>
      <w:r>
        <w:rPr>
          <w:rFonts w:eastAsia="黑体"/>
          <w:b/>
          <w:sz w:val="28"/>
          <w:szCs w:val="28"/>
          <w:highlight w:val="none"/>
          <w:shd w:val="clear" w:color="auto" w:fill="auto"/>
        </w:rPr>
        <w:t>2.1 招标文件的组成</w:t>
      </w:r>
      <w:bookmarkEnd w:id="90"/>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本招标文件包括：</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（1）招标公告（或投标邀请书）；</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（2）投标人须知；</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（3）评标办法；</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（4）合同条款及格式；</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（5）供货要求；</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（6）投标文件格式；</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（7）投标人须知前附表规定的其他资料。</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根据本章第1.9款、第2.2款和第2.3款对招标文件所做的澄清、修改，构成招标文件的组成部分。</w:t>
      </w:r>
    </w:p>
    <w:p>
      <w:pPr>
        <w:pStyle w:val="168"/>
        <w:spacing w:before="0" w:after="0" w:line="360" w:lineRule="auto"/>
        <w:outlineLvl w:val="2"/>
        <w:rPr>
          <w:rFonts w:eastAsia="黑体"/>
          <w:b/>
          <w:sz w:val="28"/>
          <w:szCs w:val="28"/>
          <w:highlight w:val="none"/>
          <w:shd w:val="clear" w:color="auto" w:fill="auto"/>
        </w:rPr>
      </w:pPr>
      <w:bookmarkStart w:id="91" w:name="_Toc501460613"/>
      <w:r>
        <w:rPr>
          <w:rFonts w:eastAsia="黑体"/>
          <w:b/>
          <w:sz w:val="28"/>
          <w:szCs w:val="28"/>
          <w:highlight w:val="none"/>
          <w:shd w:val="clear" w:color="auto" w:fill="auto"/>
        </w:rPr>
        <w:t>2.2 招标文件的澄清</w:t>
      </w:r>
      <w:bookmarkEnd w:id="91"/>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bookmarkStart w:id="92" w:name="_Toc352691479"/>
      <w:r>
        <w:rPr>
          <w:rFonts w:ascii="Times New Roman" w:hAnsi="Times New Roman" w:eastAsiaTheme="minorEastAsia"/>
          <w:sz w:val="21"/>
          <w:szCs w:val="21"/>
          <w:highlight w:val="none"/>
          <w:shd w:val="clear" w:color="auto" w:fill="auto"/>
          <w:lang w:eastAsia="zh-CN"/>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2.2.3 投标人在收到澄清后，应按投标人须知前附表规定的时间和形式通知招标人，确认已收到该澄清。</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2.2.4 除非招标人认为确有必要答复，否则，招标人有权拒绝</w:t>
      </w:r>
      <w:bookmarkStart w:id="93" w:name="_Toc352691478"/>
      <w:bookmarkStart w:id="94" w:name="_Toc27980"/>
      <w:bookmarkStart w:id="95" w:name="_Toc369531520"/>
      <w:r>
        <w:rPr>
          <w:rFonts w:ascii="Times New Roman" w:hAnsi="Times New Roman" w:eastAsiaTheme="minorEastAsia"/>
          <w:sz w:val="21"/>
          <w:szCs w:val="21"/>
          <w:highlight w:val="none"/>
          <w:shd w:val="clear" w:color="auto" w:fill="auto"/>
          <w:lang w:eastAsia="zh-CN"/>
        </w:rPr>
        <w:t>回复投标人在</w:t>
      </w:r>
      <w:bookmarkEnd w:id="93"/>
      <w:bookmarkEnd w:id="94"/>
      <w:bookmarkEnd w:id="95"/>
      <w:r>
        <w:rPr>
          <w:rFonts w:ascii="Times New Roman" w:hAnsi="Times New Roman" w:eastAsiaTheme="minorEastAsia"/>
          <w:sz w:val="21"/>
          <w:szCs w:val="21"/>
          <w:highlight w:val="none"/>
          <w:shd w:val="clear" w:color="auto" w:fill="auto"/>
          <w:lang w:eastAsia="zh-CN"/>
        </w:rPr>
        <w:t>本章第2.2.1项规定的时间后提出的任何澄清要求。</w:t>
      </w:r>
    </w:p>
    <w:p>
      <w:pPr>
        <w:pStyle w:val="168"/>
        <w:spacing w:before="0" w:after="0" w:line="360" w:lineRule="auto"/>
        <w:outlineLvl w:val="2"/>
        <w:rPr>
          <w:rFonts w:eastAsia="黑体"/>
          <w:b/>
          <w:sz w:val="28"/>
          <w:szCs w:val="28"/>
          <w:highlight w:val="none"/>
          <w:shd w:val="clear" w:color="auto" w:fill="auto"/>
        </w:rPr>
      </w:pPr>
      <w:bookmarkStart w:id="96" w:name="_Toc501460614"/>
      <w:r>
        <w:rPr>
          <w:rFonts w:eastAsia="黑体"/>
          <w:b/>
          <w:sz w:val="28"/>
          <w:szCs w:val="28"/>
          <w:highlight w:val="none"/>
          <w:shd w:val="clear" w:color="auto" w:fill="auto"/>
        </w:rPr>
        <w:t>2.3 招标文件的修</w:t>
      </w:r>
      <w:bookmarkStart w:id="97" w:name="_Toc369531521"/>
      <w:bookmarkStart w:id="98" w:name="_Toc16514"/>
      <w:r>
        <w:rPr>
          <w:rFonts w:eastAsia="黑体"/>
          <w:b/>
          <w:sz w:val="28"/>
          <w:szCs w:val="28"/>
          <w:highlight w:val="none"/>
          <w:shd w:val="clear" w:color="auto" w:fill="auto"/>
        </w:rPr>
        <w:t>改</w:t>
      </w:r>
      <w:bookmarkEnd w:id="96"/>
    </w:p>
    <w:bookmarkEnd w:id="92"/>
    <w:bookmarkEnd w:id="97"/>
    <w:bookmarkEnd w:id="98"/>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bookmarkStart w:id="99" w:name="_Toc384308220"/>
      <w:bookmarkStart w:id="100" w:name="_Toc16623"/>
      <w:bookmarkStart w:id="101" w:name="_Toc361508595"/>
      <w:bookmarkStart w:id="102" w:name="_Toc152042316"/>
      <w:bookmarkStart w:id="103" w:name="_Toc300834960"/>
      <w:bookmarkStart w:id="104" w:name="_Toc352691484"/>
      <w:bookmarkStart w:id="105" w:name="_Toc247527564"/>
      <w:bookmarkStart w:id="106" w:name="_Toc247513963"/>
      <w:bookmarkStart w:id="107" w:name="_Toc152045540"/>
      <w:bookmarkStart w:id="108" w:name="_Toc369531526"/>
      <w:bookmarkStart w:id="109" w:name="_Toc144974508"/>
      <w:r>
        <w:rPr>
          <w:rFonts w:ascii="Times New Roman" w:hAnsi="Times New Roman" w:eastAsiaTheme="minorEastAsia"/>
          <w:sz w:val="21"/>
          <w:szCs w:val="21"/>
          <w:highlight w:val="none"/>
          <w:shd w:val="clear" w:color="auto" w:fill="auto"/>
          <w:lang w:eastAsia="zh-CN"/>
        </w:rPr>
        <w:t>2.3.1 招标人以投标人须知前附表规定的形式修改招标文件，并通知所有已</w:t>
      </w:r>
      <w:bookmarkStart w:id="110" w:name="_Toc369531522"/>
      <w:bookmarkStart w:id="111" w:name="_Toc26878"/>
      <w:bookmarkStart w:id="112" w:name="_Toc352691480"/>
      <w:r>
        <w:rPr>
          <w:rFonts w:ascii="Times New Roman" w:hAnsi="Times New Roman" w:eastAsiaTheme="minorEastAsia"/>
          <w:sz w:val="21"/>
          <w:szCs w:val="21"/>
          <w:highlight w:val="none"/>
          <w:shd w:val="clear" w:color="auto" w:fill="auto"/>
          <w:lang w:eastAsia="zh-CN"/>
        </w:rPr>
        <w:t>购买招标文件</w:t>
      </w:r>
      <w:bookmarkEnd w:id="110"/>
      <w:bookmarkEnd w:id="111"/>
      <w:bookmarkEnd w:id="112"/>
      <w:r>
        <w:rPr>
          <w:rFonts w:ascii="Times New Roman" w:hAnsi="Times New Roman" w:eastAsiaTheme="minorEastAsia"/>
          <w:sz w:val="21"/>
          <w:szCs w:val="21"/>
          <w:highlight w:val="none"/>
          <w:shd w:val="clear" w:color="auto" w:fill="auto"/>
          <w:lang w:eastAsia="zh-CN"/>
        </w:rPr>
        <w:t>的投标人。修改招标文件的时间距本章第4.2.1项规定的投标截止时间不足15日的，并且修改内容可</w:t>
      </w:r>
      <w:bookmarkStart w:id="113" w:name="_Toc144974505"/>
      <w:bookmarkStart w:id="114" w:name="_Toc300834957"/>
      <w:bookmarkStart w:id="115" w:name="_Toc247513960"/>
      <w:bookmarkStart w:id="116" w:name="_Toc384308217"/>
      <w:bookmarkStart w:id="117" w:name="_Toc369531523"/>
      <w:bookmarkStart w:id="118" w:name="_Toc152045537"/>
      <w:bookmarkStart w:id="119" w:name="_Toc361508592"/>
      <w:bookmarkStart w:id="120" w:name="_Toc247527561"/>
      <w:bookmarkStart w:id="121" w:name="_Toc152042313"/>
      <w:bookmarkStart w:id="122" w:name="_Toc352691481"/>
      <w:bookmarkStart w:id="123" w:name="_Toc8349"/>
      <w:r>
        <w:rPr>
          <w:rFonts w:ascii="Times New Roman" w:hAnsi="Times New Roman" w:eastAsiaTheme="minorEastAsia"/>
          <w:sz w:val="21"/>
          <w:szCs w:val="21"/>
          <w:highlight w:val="none"/>
          <w:shd w:val="clear" w:color="auto" w:fill="auto"/>
          <w:lang w:eastAsia="zh-CN"/>
        </w:rPr>
        <w:t>能影响投标文</w:t>
      </w:r>
      <w:bookmarkEnd w:id="113"/>
      <w:r>
        <w:rPr>
          <w:rFonts w:ascii="Times New Roman" w:hAnsi="Times New Roman" w:eastAsiaTheme="minorEastAsia"/>
          <w:sz w:val="21"/>
          <w:szCs w:val="21"/>
          <w:highlight w:val="none"/>
          <w:shd w:val="clear" w:color="auto" w:fill="auto"/>
          <w:lang w:eastAsia="zh-CN"/>
        </w:rPr>
        <w:t>件编</w:t>
      </w:r>
      <w:bookmarkEnd w:id="114"/>
      <w:bookmarkEnd w:id="115"/>
      <w:bookmarkEnd w:id="116"/>
      <w:bookmarkEnd w:id="117"/>
      <w:bookmarkEnd w:id="118"/>
      <w:bookmarkEnd w:id="119"/>
      <w:bookmarkEnd w:id="120"/>
      <w:bookmarkEnd w:id="121"/>
      <w:bookmarkEnd w:id="122"/>
      <w:bookmarkEnd w:id="123"/>
      <w:r>
        <w:rPr>
          <w:rFonts w:ascii="Times New Roman" w:hAnsi="Times New Roman" w:eastAsiaTheme="minorEastAsia"/>
          <w:sz w:val="21"/>
          <w:szCs w:val="21"/>
          <w:highlight w:val="none"/>
          <w:shd w:val="clear" w:color="auto" w:fill="auto"/>
          <w:lang w:eastAsia="zh-CN"/>
        </w:rPr>
        <w:t>制的，将相应延长投标截止时间。</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2.3.2 投标人收到修改内容</w:t>
      </w:r>
      <w:bookmarkStart w:id="124" w:name="_Toc247513961"/>
      <w:bookmarkStart w:id="125" w:name="_Toc152042314"/>
      <w:bookmarkStart w:id="126" w:name="_Toc352691482"/>
      <w:bookmarkStart w:id="127" w:name="_Toc24632"/>
      <w:bookmarkStart w:id="128" w:name="_Toc144974506"/>
      <w:bookmarkStart w:id="129" w:name="_Toc152045538"/>
      <w:bookmarkStart w:id="130" w:name="_Toc369531524"/>
      <w:bookmarkStart w:id="131" w:name="_Toc300834958"/>
      <w:bookmarkStart w:id="132" w:name="_Toc247527562"/>
      <w:bookmarkStart w:id="133" w:name="_Toc361508593"/>
      <w:bookmarkStart w:id="134" w:name="_Toc384308218"/>
      <w:r>
        <w:rPr>
          <w:rFonts w:ascii="Times New Roman" w:hAnsi="Times New Roman" w:eastAsiaTheme="minorEastAsia"/>
          <w:sz w:val="21"/>
          <w:szCs w:val="21"/>
          <w:highlight w:val="none"/>
          <w:shd w:val="clear" w:color="auto" w:fill="auto"/>
          <w:lang w:eastAsia="zh-CN"/>
        </w:rPr>
        <w:t>后，</w:t>
      </w:r>
      <w:bookmarkEnd w:id="124"/>
      <w:bookmarkEnd w:id="125"/>
      <w:bookmarkEnd w:id="126"/>
      <w:bookmarkEnd w:id="127"/>
      <w:bookmarkEnd w:id="128"/>
      <w:bookmarkEnd w:id="129"/>
      <w:bookmarkEnd w:id="130"/>
      <w:bookmarkEnd w:id="131"/>
      <w:bookmarkEnd w:id="132"/>
      <w:bookmarkEnd w:id="133"/>
      <w:bookmarkEnd w:id="134"/>
      <w:r>
        <w:rPr>
          <w:rFonts w:ascii="Times New Roman" w:hAnsi="Times New Roman" w:eastAsiaTheme="minorEastAsia"/>
          <w:sz w:val="21"/>
          <w:szCs w:val="21"/>
          <w:highlight w:val="none"/>
          <w:shd w:val="clear" w:color="auto" w:fill="auto"/>
          <w:lang w:eastAsia="zh-CN"/>
        </w:rPr>
        <w:t>应按投标人须知前附表规定的时间和形式通知招标人，确认已收到该修改。</w:t>
      </w:r>
    </w:p>
    <w:p>
      <w:pPr>
        <w:pStyle w:val="168"/>
        <w:spacing w:before="0" w:after="0" w:line="360" w:lineRule="auto"/>
        <w:outlineLvl w:val="2"/>
        <w:rPr>
          <w:rFonts w:eastAsia="黑体"/>
          <w:b/>
          <w:sz w:val="28"/>
          <w:szCs w:val="28"/>
          <w:highlight w:val="none"/>
          <w:shd w:val="clear" w:color="auto" w:fill="auto"/>
        </w:rPr>
      </w:pPr>
      <w:bookmarkStart w:id="135" w:name="_Toc501460615"/>
      <w:r>
        <w:rPr>
          <w:rFonts w:eastAsia="黑体"/>
          <w:b/>
          <w:sz w:val="28"/>
          <w:szCs w:val="28"/>
          <w:highlight w:val="none"/>
          <w:shd w:val="clear" w:color="auto" w:fill="auto"/>
        </w:rPr>
        <w:t>2.</w:t>
      </w:r>
      <w:bookmarkEnd w:id="99"/>
      <w:bookmarkEnd w:id="100"/>
      <w:bookmarkEnd w:id="101"/>
      <w:bookmarkEnd w:id="102"/>
      <w:bookmarkEnd w:id="103"/>
      <w:bookmarkEnd w:id="104"/>
      <w:bookmarkEnd w:id="105"/>
      <w:bookmarkEnd w:id="106"/>
      <w:bookmarkEnd w:id="107"/>
      <w:bookmarkEnd w:id="108"/>
      <w:bookmarkEnd w:id="109"/>
      <w:r>
        <w:rPr>
          <w:rFonts w:eastAsia="黑体"/>
          <w:b/>
          <w:sz w:val="28"/>
          <w:szCs w:val="28"/>
          <w:highlight w:val="none"/>
          <w:shd w:val="clear" w:color="auto" w:fill="auto"/>
        </w:rPr>
        <w:t>4 招标文件的异议</w:t>
      </w:r>
      <w:bookmarkEnd w:id="135"/>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投标人或者其他利害关系人对招标文件有异议的，应当在投标截止时间10日前以书面形式提出。招标人将在收到异议之日起3日内作出答复；作出答复前，将暂停招标投标活动。</w:t>
      </w:r>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136" w:name="_Toc501460616"/>
      <w:bookmarkStart w:id="137" w:name="_Toc60646635"/>
      <w:r>
        <w:rPr>
          <w:rFonts w:ascii="Times New Roman" w:hAnsi="Times New Roman" w:eastAsia="黑体" w:cs="Times New Roman"/>
          <w:b/>
          <w:color w:val="000000"/>
          <w:sz w:val="32"/>
          <w:highlight w:val="none"/>
          <w:shd w:val="clear" w:color="auto" w:fill="auto"/>
        </w:rPr>
        <w:t>3.投标文件</w:t>
      </w:r>
      <w:bookmarkEnd w:id="136"/>
      <w:bookmarkEnd w:id="137"/>
    </w:p>
    <w:p>
      <w:pPr>
        <w:pStyle w:val="168"/>
        <w:spacing w:before="0" w:after="0" w:line="360" w:lineRule="auto"/>
        <w:outlineLvl w:val="2"/>
        <w:rPr>
          <w:rFonts w:eastAsia="黑体"/>
          <w:b/>
          <w:sz w:val="28"/>
          <w:szCs w:val="28"/>
          <w:highlight w:val="none"/>
          <w:shd w:val="clear" w:color="auto" w:fill="auto"/>
        </w:rPr>
      </w:pPr>
      <w:bookmarkStart w:id="138" w:name="_Toc501460617"/>
      <w:r>
        <w:rPr>
          <w:rFonts w:eastAsia="黑体"/>
          <w:b/>
          <w:sz w:val="28"/>
          <w:szCs w:val="28"/>
          <w:highlight w:val="none"/>
          <w:shd w:val="clear" w:color="auto" w:fill="auto"/>
        </w:rPr>
        <w:t>3.1 投标文件的组成</w:t>
      </w:r>
      <w:bookmarkEnd w:id="138"/>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3.1.1 投标文件应包括下列内容：</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（1）投标函；</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（2）法定代表人（单位负责人）身份证明或授权委托书；</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（3）联合体协议书；</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（4）投标保证金；</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（5）商务和技术偏差表；</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（6）分项报价表；</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（7）资格审查资料；</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（8）投标货物质量标准的详细描述；</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（9）技术支持资料；</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（10）相关服务计划；</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（11）投标人须知前附表规定的其他资料。</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投标人在评标过程中作出的符合法律法规和招标文件规定的澄清确认，构成投标文件的组成部分。</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3.1.2 投标人须知前附表规定不接受联合体投标的，或投标人没有组成联合体的，投标文件不包括本章第3.1.1（3）目所指的联合体协议书。</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3.1.3 投标人须知前附表未要求提交投标保证金的，投标文件不包括本章第3.1.1（4）目所指的投标保证金。</w:t>
      </w:r>
    </w:p>
    <w:p>
      <w:pPr>
        <w:pStyle w:val="168"/>
        <w:spacing w:before="0" w:after="0" w:line="360" w:lineRule="auto"/>
        <w:outlineLvl w:val="2"/>
        <w:rPr>
          <w:rFonts w:eastAsia="黑体"/>
          <w:b/>
          <w:sz w:val="28"/>
          <w:szCs w:val="28"/>
          <w:highlight w:val="none"/>
          <w:shd w:val="clear" w:color="auto" w:fill="auto"/>
        </w:rPr>
      </w:pPr>
      <w:bookmarkStart w:id="139" w:name="_Toc501460618"/>
      <w:r>
        <w:rPr>
          <w:rFonts w:eastAsia="黑体"/>
          <w:b/>
          <w:sz w:val="28"/>
          <w:szCs w:val="28"/>
          <w:highlight w:val="none"/>
          <w:shd w:val="clear" w:color="auto" w:fill="auto"/>
        </w:rPr>
        <w:t>3.2 投标报价</w:t>
      </w:r>
      <w:bookmarkEnd w:id="139"/>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3.2.1 投标报价应包括国家规定的增值税税金，除投标人须知前附表另有规定外，增值税税金按一般计税方法计算。投标人应按第六章“投标文件格式”的要求在投标函中进行报价并填写分项报价表。</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3.2.2 投标人应充分了解该项目的总体情况以及影响投标报价的其他要素。</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3.2.3</w:t>
      </w:r>
      <w:bookmarkStart w:id="140" w:name="_Toc152045543"/>
      <w:bookmarkEnd w:id="140"/>
      <w:bookmarkStart w:id="141" w:name="_Toc369531530"/>
      <w:bookmarkEnd w:id="141"/>
      <w:bookmarkStart w:id="142" w:name="_Toc152042319"/>
      <w:bookmarkEnd w:id="142"/>
      <w:bookmarkStart w:id="143" w:name="_Toc352691487"/>
      <w:bookmarkEnd w:id="143"/>
      <w:bookmarkStart w:id="144" w:name="_Toc247527568"/>
      <w:bookmarkEnd w:id="144"/>
      <w:bookmarkStart w:id="145" w:name="_Toc144974511"/>
      <w:bookmarkEnd w:id="145"/>
      <w:bookmarkStart w:id="146" w:name="_Toc247513967"/>
      <w:bookmarkEnd w:id="146"/>
      <w:bookmarkStart w:id="147" w:name="_Toc384308224"/>
      <w:bookmarkEnd w:id="147"/>
      <w:bookmarkStart w:id="148" w:name="_Toc15242"/>
      <w:bookmarkEnd w:id="148"/>
      <w:bookmarkStart w:id="149" w:name="_Toc361508599"/>
      <w:bookmarkEnd w:id="149"/>
      <w:bookmarkStart w:id="150" w:name="_Toc300834964"/>
      <w:bookmarkEnd w:id="150"/>
      <w:r>
        <w:rPr>
          <w:rFonts w:ascii="Times New Roman" w:hAnsi="Times New Roman" w:eastAsiaTheme="minorEastAsia"/>
          <w:sz w:val="21"/>
          <w:szCs w:val="21"/>
          <w:highlight w:val="none"/>
          <w:shd w:val="clear" w:color="auto" w:fill="auto"/>
          <w:lang w:eastAsia="zh-CN"/>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3.2.4 招标人设有最高投标限价的，投标人的投标报价不得超过最高投标限价，最高投标限价在投标</w:t>
      </w:r>
      <w:bookmarkStart w:id="151" w:name="_Toc352691488"/>
      <w:bookmarkStart w:id="152" w:name="_Toc152045544"/>
      <w:bookmarkStart w:id="153" w:name="_Toc144974512"/>
      <w:bookmarkStart w:id="154" w:name="_Toc247513968"/>
      <w:bookmarkStart w:id="155" w:name="_Toc369531531"/>
      <w:bookmarkStart w:id="156" w:name="_Toc300834965"/>
      <w:bookmarkStart w:id="157" w:name="_Toc384308225"/>
      <w:bookmarkStart w:id="158" w:name="_Toc152042320"/>
      <w:bookmarkStart w:id="159" w:name="_Toc10429"/>
      <w:bookmarkStart w:id="160" w:name="_Toc247527569"/>
      <w:bookmarkStart w:id="161" w:name="_Toc361508600"/>
      <w:r>
        <w:rPr>
          <w:rFonts w:ascii="Times New Roman" w:hAnsi="Times New Roman" w:eastAsiaTheme="minorEastAsia"/>
          <w:sz w:val="21"/>
          <w:szCs w:val="21"/>
          <w:highlight w:val="none"/>
          <w:shd w:val="clear" w:color="auto" w:fill="auto"/>
          <w:lang w:eastAsia="zh-CN"/>
        </w:rPr>
        <w:t>人须知前附表中载明。</w:t>
      </w:r>
      <w:bookmarkEnd w:id="151"/>
      <w:bookmarkEnd w:id="152"/>
      <w:bookmarkEnd w:id="153"/>
      <w:bookmarkEnd w:id="154"/>
      <w:bookmarkEnd w:id="155"/>
      <w:bookmarkEnd w:id="156"/>
      <w:bookmarkEnd w:id="157"/>
      <w:bookmarkEnd w:id="158"/>
      <w:bookmarkEnd w:id="159"/>
      <w:bookmarkEnd w:id="160"/>
      <w:bookmarkEnd w:id="161"/>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3.2.5 投标报价的其他要求见投标人须知前附表。</w:t>
      </w:r>
    </w:p>
    <w:p>
      <w:pPr>
        <w:pStyle w:val="168"/>
        <w:spacing w:before="0" w:after="0" w:line="360" w:lineRule="auto"/>
        <w:outlineLvl w:val="2"/>
        <w:rPr>
          <w:rFonts w:eastAsia="黑体"/>
          <w:b/>
          <w:sz w:val="28"/>
          <w:szCs w:val="28"/>
          <w:highlight w:val="none"/>
          <w:shd w:val="clear" w:color="auto" w:fill="auto"/>
        </w:rPr>
      </w:pPr>
      <w:bookmarkStart w:id="162" w:name="_Toc501460619"/>
      <w:r>
        <w:rPr>
          <w:rFonts w:eastAsia="黑体"/>
          <w:b/>
          <w:sz w:val="28"/>
          <w:szCs w:val="28"/>
          <w:highlight w:val="none"/>
          <w:shd w:val="clear" w:color="auto" w:fill="auto"/>
        </w:rPr>
        <w:t>3.3 投标有效期</w:t>
      </w:r>
      <w:bookmarkEnd w:id="162"/>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3.3.1 除投标人须知前附表另有规定外，投标有效期为</w:t>
      </w:r>
      <w:r>
        <w:rPr>
          <w:rFonts w:hint="eastAsia" w:ascii="Times New Roman" w:hAnsi="Times New Roman" w:eastAsiaTheme="minorEastAsia"/>
          <w:sz w:val="21"/>
          <w:szCs w:val="21"/>
          <w:highlight w:val="none"/>
          <w:shd w:val="clear" w:color="auto" w:fill="auto"/>
          <w:lang w:eastAsia="zh-CN"/>
        </w:rPr>
        <w:t>120</w:t>
      </w:r>
      <w:r>
        <w:rPr>
          <w:rFonts w:ascii="Times New Roman" w:hAnsi="Times New Roman" w:eastAsiaTheme="minorEastAsia"/>
          <w:sz w:val="21"/>
          <w:szCs w:val="21"/>
          <w:highlight w:val="none"/>
          <w:shd w:val="clear" w:color="auto" w:fill="auto"/>
          <w:lang w:eastAsia="zh-CN"/>
        </w:rPr>
        <w:t>日。</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3.3.2 在投标有效期内，投标人撤销投标文件的，应承担招标文件和法律规定的责任。</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168"/>
        <w:spacing w:before="0" w:after="0" w:line="360" w:lineRule="auto"/>
        <w:outlineLvl w:val="2"/>
        <w:rPr>
          <w:rFonts w:eastAsia="黑体"/>
          <w:b/>
          <w:sz w:val="28"/>
          <w:szCs w:val="28"/>
          <w:highlight w:val="none"/>
          <w:shd w:val="clear" w:color="auto" w:fill="auto"/>
        </w:rPr>
      </w:pPr>
      <w:bookmarkStart w:id="163" w:name="_Toc501460620"/>
      <w:r>
        <w:rPr>
          <w:rFonts w:eastAsia="黑体"/>
          <w:b/>
          <w:sz w:val="28"/>
          <w:szCs w:val="28"/>
          <w:highlight w:val="none"/>
          <w:shd w:val="clear" w:color="auto" w:fill="auto"/>
        </w:rPr>
        <w:t>3.4 投标保证金</w:t>
      </w:r>
      <w:bookmarkEnd w:id="163"/>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3.4.1 投标人在递交投标文件的同时，应按投标人须知前附表规定的金额</w:t>
      </w:r>
      <w:bookmarkStart w:id="164" w:name="_Toc152042321"/>
      <w:bookmarkStart w:id="165" w:name="_Toc4592"/>
      <w:bookmarkStart w:id="166" w:name="_Toc144974513"/>
      <w:bookmarkStart w:id="167" w:name="_Toc247513969"/>
      <w:bookmarkStart w:id="168" w:name="_Toc300834966"/>
      <w:bookmarkStart w:id="169" w:name="_Toc152045545"/>
      <w:bookmarkStart w:id="170" w:name="_Toc361508601"/>
      <w:bookmarkStart w:id="171" w:name="_Toc247527570"/>
      <w:bookmarkStart w:id="172" w:name="_Toc352691489"/>
      <w:bookmarkStart w:id="173" w:name="_Toc384308226"/>
      <w:bookmarkStart w:id="174" w:name="_Toc369531532"/>
      <w:r>
        <w:rPr>
          <w:rFonts w:ascii="Times New Roman" w:hAnsi="Times New Roman" w:eastAsiaTheme="minorEastAsia"/>
          <w:sz w:val="21"/>
          <w:szCs w:val="21"/>
          <w:highlight w:val="none"/>
          <w:shd w:val="clear" w:color="auto" w:fill="auto"/>
          <w:lang w:eastAsia="zh-CN"/>
        </w:rPr>
        <w:t>、形式和第六章“投标文</w:t>
      </w:r>
      <w:bookmarkEnd w:id="164"/>
      <w:bookmarkEnd w:id="165"/>
      <w:bookmarkEnd w:id="166"/>
      <w:bookmarkEnd w:id="167"/>
      <w:bookmarkEnd w:id="168"/>
      <w:bookmarkEnd w:id="169"/>
      <w:bookmarkEnd w:id="170"/>
      <w:bookmarkEnd w:id="171"/>
      <w:bookmarkEnd w:id="172"/>
      <w:bookmarkEnd w:id="173"/>
      <w:bookmarkEnd w:id="174"/>
      <w:r>
        <w:rPr>
          <w:rFonts w:ascii="Times New Roman" w:hAnsi="Times New Roman" w:eastAsiaTheme="minorEastAsia"/>
          <w:sz w:val="21"/>
          <w:szCs w:val="21"/>
          <w:highlight w:val="none"/>
          <w:shd w:val="clear" w:color="auto" w:fill="auto"/>
          <w:lang w:eastAsia="zh-CN"/>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3.4.2 投标人不按本章第3.4.1项</w:t>
      </w:r>
      <w:bookmarkStart w:id="175" w:name="_Toc352691490"/>
      <w:bookmarkStart w:id="176" w:name="_Toc384308227"/>
      <w:bookmarkStart w:id="177" w:name="_Toc29025"/>
      <w:bookmarkStart w:id="178" w:name="_Toc369531533"/>
      <w:bookmarkStart w:id="179" w:name="_Toc361508602"/>
      <w:r>
        <w:rPr>
          <w:rFonts w:ascii="Times New Roman" w:hAnsi="Times New Roman" w:eastAsiaTheme="minorEastAsia"/>
          <w:sz w:val="21"/>
          <w:szCs w:val="21"/>
          <w:highlight w:val="none"/>
          <w:shd w:val="clear" w:color="auto" w:fill="auto"/>
          <w:lang w:eastAsia="zh-CN"/>
        </w:rPr>
        <w:t>要求提交投标保证金的，</w:t>
      </w:r>
      <w:bookmarkEnd w:id="175"/>
      <w:bookmarkEnd w:id="176"/>
      <w:bookmarkEnd w:id="177"/>
      <w:bookmarkEnd w:id="178"/>
      <w:bookmarkEnd w:id="179"/>
      <w:r>
        <w:rPr>
          <w:rFonts w:ascii="Times New Roman" w:hAnsi="Times New Roman" w:eastAsiaTheme="minorEastAsia"/>
          <w:sz w:val="21"/>
          <w:szCs w:val="21"/>
          <w:highlight w:val="none"/>
          <w:shd w:val="clear" w:color="auto" w:fill="auto"/>
          <w:lang w:eastAsia="zh-CN"/>
        </w:rPr>
        <w:t>评标委员会将否决其投标。</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3.4.3 招标人最迟将在与中标人</w:t>
      </w:r>
      <w:bookmarkStart w:id="180" w:name="_Toc369531534"/>
      <w:bookmarkStart w:id="181" w:name="_Toc152042322"/>
      <w:bookmarkStart w:id="182" w:name="_Toc247527571"/>
      <w:bookmarkStart w:id="183" w:name="_Toc14751"/>
      <w:bookmarkStart w:id="184" w:name="_Toc152045546"/>
      <w:bookmarkStart w:id="185" w:name="_Toc384308228"/>
      <w:bookmarkStart w:id="186" w:name="_Toc352691491"/>
      <w:bookmarkStart w:id="187" w:name="_Toc144974514"/>
      <w:bookmarkStart w:id="188" w:name="_Toc361508603"/>
      <w:bookmarkStart w:id="189" w:name="_Toc247513970"/>
      <w:bookmarkStart w:id="190" w:name="_Toc300834967"/>
      <w:r>
        <w:rPr>
          <w:rFonts w:ascii="Times New Roman" w:hAnsi="Times New Roman" w:eastAsiaTheme="minorEastAsia"/>
          <w:sz w:val="21"/>
          <w:szCs w:val="21"/>
          <w:highlight w:val="none"/>
          <w:shd w:val="clear" w:color="auto" w:fill="auto"/>
          <w:lang w:eastAsia="zh-CN"/>
        </w:rPr>
        <w:t>签订合同后5日</w:t>
      </w:r>
      <w:bookmarkEnd w:id="180"/>
      <w:bookmarkEnd w:id="181"/>
      <w:bookmarkEnd w:id="182"/>
      <w:bookmarkEnd w:id="183"/>
      <w:bookmarkEnd w:id="184"/>
      <w:bookmarkEnd w:id="185"/>
      <w:bookmarkEnd w:id="186"/>
      <w:bookmarkEnd w:id="187"/>
      <w:bookmarkEnd w:id="188"/>
      <w:bookmarkEnd w:id="189"/>
      <w:bookmarkEnd w:id="190"/>
      <w:r>
        <w:rPr>
          <w:rFonts w:ascii="Times New Roman" w:hAnsi="Times New Roman" w:eastAsiaTheme="minorEastAsia"/>
          <w:sz w:val="21"/>
          <w:szCs w:val="21"/>
          <w:highlight w:val="none"/>
          <w:shd w:val="clear" w:color="auto" w:fill="auto"/>
          <w:lang w:eastAsia="zh-CN"/>
        </w:rPr>
        <w:t>内</w:t>
      </w:r>
      <w:bookmarkStart w:id="191" w:name="_Toc352691492"/>
      <w:bookmarkStart w:id="192" w:name="_Toc384308229"/>
      <w:bookmarkStart w:id="193" w:name="_Toc300834968"/>
      <w:bookmarkStart w:id="194" w:name="_Toc152045547"/>
      <w:bookmarkStart w:id="195" w:name="_Toc17952"/>
      <w:bookmarkStart w:id="196" w:name="_Toc369531535"/>
      <w:bookmarkStart w:id="197" w:name="_Toc144974515"/>
      <w:bookmarkStart w:id="198" w:name="_Toc361508604"/>
      <w:bookmarkStart w:id="199" w:name="_Toc247527572"/>
      <w:bookmarkStart w:id="200" w:name="_Toc152042323"/>
      <w:bookmarkStart w:id="201" w:name="_Toc247513971"/>
      <w:r>
        <w:rPr>
          <w:rFonts w:ascii="Times New Roman" w:hAnsi="Times New Roman" w:eastAsiaTheme="minorEastAsia"/>
          <w:sz w:val="21"/>
          <w:szCs w:val="21"/>
          <w:highlight w:val="none"/>
          <w:shd w:val="clear" w:color="auto" w:fill="auto"/>
          <w:lang w:eastAsia="zh-CN"/>
        </w:rPr>
        <w:t>，向未中标的投标人和中</w:t>
      </w:r>
      <w:bookmarkEnd w:id="191"/>
      <w:bookmarkEnd w:id="192"/>
      <w:bookmarkEnd w:id="193"/>
      <w:bookmarkEnd w:id="194"/>
      <w:bookmarkEnd w:id="195"/>
      <w:bookmarkEnd w:id="196"/>
      <w:bookmarkEnd w:id="197"/>
      <w:bookmarkEnd w:id="198"/>
      <w:bookmarkEnd w:id="199"/>
      <w:bookmarkEnd w:id="200"/>
      <w:bookmarkEnd w:id="201"/>
      <w:r>
        <w:rPr>
          <w:rFonts w:ascii="Times New Roman" w:hAnsi="Times New Roman" w:eastAsiaTheme="minorEastAsia"/>
          <w:sz w:val="21"/>
          <w:szCs w:val="21"/>
          <w:highlight w:val="none"/>
          <w:shd w:val="clear" w:color="auto" w:fill="auto"/>
          <w:lang w:eastAsia="zh-CN"/>
        </w:rPr>
        <w:t>标人</w:t>
      </w:r>
      <w:r>
        <w:rPr>
          <w:rFonts w:hint="eastAsia" w:ascii="Times New Roman" w:hAnsi="Times New Roman" w:eastAsiaTheme="minorEastAsia"/>
          <w:sz w:val="21"/>
          <w:szCs w:val="21"/>
          <w:highlight w:val="none"/>
          <w:shd w:val="clear" w:color="auto" w:fill="auto"/>
          <w:lang w:eastAsia="zh-CN"/>
        </w:rPr>
        <w:t>无息</w:t>
      </w:r>
      <w:r>
        <w:rPr>
          <w:rFonts w:ascii="Times New Roman" w:hAnsi="Times New Roman" w:eastAsiaTheme="minorEastAsia"/>
          <w:sz w:val="21"/>
          <w:szCs w:val="21"/>
          <w:highlight w:val="none"/>
          <w:shd w:val="clear" w:color="auto" w:fill="auto"/>
          <w:lang w:eastAsia="zh-CN"/>
        </w:rPr>
        <w:t>退还投标保证金。</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3.4.4 有下列情形之一的，投标保证金将不予退还：</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（1）投标人在投标有效期内撤销投标文件；</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（2）中标人在收到中标通知书后，无正当理由不与招标人订立合同，在签订合同时向招标人提出附加条件，或者不按照招标文件要求提交履约保证金；</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（3）发生投标人须知前附表规定的其他可以不予退还投标保证金的情形。</w:t>
      </w:r>
    </w:p>
    <w:p>
      <w:pPr>
        <w:pStyle w:val="168"/>
        <w:spacing w:before="0" w:after="0" w:line="360" w:lineRule="auto"/>
        <w:outlineLvl w:val="2"/>
        <w:rPr>
          <w:rFonts w:eastAsia="黑体"/>
          <w:b/>
          <w:sz w:val="28"/>
          <w:szCs w:val="28"/>
          <w:highlight w:val="none"/>
          <w:shd w:val="clear" w:color="auto" w:fill="auto"/>
        </w:rPr>
      </w:pPr>
      <w:bookmarkStart w:id="202" w:name="_Toc508806361"/>
      <w:bookmarkStart w:id="203" w:name="_Toc505439874"/>
      <w:r>
        <w:rPr>
          <w:rFonts w:eastAsia="黑体"/>
          <w:b/>
          <w:sz w:val="28"/>
          <w:szCs w:val="28"/>
          <w:highlight w:val="none"/>
          <w:shd w:val="clear" w:color="auto" w:fill="auto"/>
        </w:rPr>
        <w:t>3.5 资格审查资料</w:t>
      </w:r>
      <w:bookmarkEnd w:id="202"/>
      <w:bookmarkEnd w:id="203"/>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除投标人须知前附表另有规定外，投标人应按下列规定提供资格审查资料，以证明其满足本章第1.4款规定的资质、财务、业绩、信誉等要求。</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bookmarkStart w:id="204" w:name="_Toc505439875"/>
      <w:bookmarkStart w:id="205" w:name="_Toc508806362"/>
      <w:r>
        <w:rPr>
          <w:rFonts w:ascii="Times New Roman" w:hAnsi="Times New Roman" w:eastAsiaTheme="minorEastAsia"/>
          <w:sz w:val="21"/>
          <w:szCs w:val="21"/>
          <w:highlight w:val="none"/>
          <w:shd w:val="clear" w:color="auto" w:fill="auto"/>
          <w:lang w:eastAsia="zh-CN"/>
        </w:rPr>
        <w:t>3.5.1 “投标人基本情况表”应附投标人及其制造商（适用于代理经销商投标的情形）资格或者资质证书副本和投标货物检验或认证等材料的复印件以及：</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（1）投标人为企业的，应提交营业执照和组织机构代码证的复印件（按照“三证合一”或“五证合一”登记制度进行登记的，可仅提供营业执照复印件）；</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（2）投标人为依法允许经营的事业单位的，应提交事业单位法人证书和组织机构代码证的复印件。</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3.5.3 “近年完成的类似项目情况表”应附中标通知书和（或）合同协议书、货物进场验收证书等的复印件，具体时间要求见投标人须知前附表。每张表格只填写一个项目，并标明序号。</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3.5.4 “正在供货和新承接的项目情况表”应附中标通知书和（或）合同协议书复印件。每张表格只填写一个项目，并标明序号。</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3.5.5 “近年发生的诉讼及仲裁情况”应说明投标人败诉的货物买卖合同的相关情况，并附法院或仲裁机构作出的判决、裁决等有关法律文书复印件，具体时间要求见投标人须知前附表。</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3.5.6 投标人须知前附表规定接受联合体投标的，本章第3.5.1项至第3.5.5项规定的表格和资料应包括联合体各方相关情况。</w:t>
      </w:r>
    </w:p>
    <w:p>
      <w:pPr>
        <w:pStyle w:val="168"/>
        <w:spacing w:before="0" w:after="0" w:line="360" w:lineRule="auto"/>
        <w:outlineLvl w:val="2"/>
        <w:rPr>
          <w:rFonts w:eastAsia="黑体"/>
          <w:b/>
          <w:sz w:val="28"/>
          <w:szCs w:val="28"/>
          <w:highlight w:val="none"/>
          <w:shd w:val="clear" w:color="auto" w:fill="auto"/>
        </w:rPr>
      </w:pPr>
      <w:r>
        <w:rPr>
          <w:rFonts w:eastAsia="黑体"/>
          <w:b/>
          <w:sz w:val="28"/>
          <w:szCs w:val="28"/>
          <w:highlight w:val="none"/>
          <w:shd w:val="clear" w:color="auto" w:fill="auto"/>
        </w:rPr>
        <w:t>3.6 备选投标方案</w:t>
      </w:r>
      <w:bookmarkEnd w:id="204"/>
      <w:bookmarkEnd w:id="205"/>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3.6.1除投标人须知前附表规定允许外，投标人不得递交备选投标方案，否则其投标将被否决。</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3.6.3投标人提供两个或两个以上投标报价，或者在投标文件中提供一个报价，但同时提供两个或两个以上供货方案的，视为提供备选方案。</w:t>
      </w:r>
    </w:p>
    <w:p>
      <w:pPr>
        <w:pStyle w:val="168"/>
        <w:spacing w:before="0" w:after="0" w:line="360" w:lineRule="auto"/>
        <w:outlineLvl w:val="2"/>
        <w:rPr>
          <w:rFonts w:eastAsia="黑体"/>
          <w:b/>
          <w:sz w:val="28"/>
          <w:szCs w:val="28"/>
          <w:highlight w:val="none"/>
          <w:shd w:val="clear" w:color="auto" w:fill="auto"/>
        </w:rPr>
      </w:pPr>
      <w:bookmarkStart w:id="206" w:name="_Toc508806363"/>
      <w:bookmarkStart w:id="207" w:name="_Toc505439876"/>
      <w:r>
        <w:rPr>
          <w:rFonts w:eastAsia="黑体"/>
          <w:b/>
          <w:sz w:val="28"/>
          <w:szCs w:val="28"/>
          <w:highlight w:val="none"/>
          <w:shd w:val="clear" w:color="auto" w:fill="auto"/>
        </w:rPr>
        <w:t>3.7 投标文件的编制</w:t>
      </w:r>
      <w:bookmarkEnd w:id="206"/>
      <w:bookmarkEnd w:id="207"/>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3.7.1投标文件应按第六章“投标文件格式”进行编写，如有必要，可以增加附页，作为投标文件的组成部分。</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3.7.2投标文件应当对招标文件有关供货期、投标有效期、供货要求、招标范围等实质性内容作出响应。投标文件在满足招标文件实质性要求的基础上，可以提出比招标文件要求更有利于招标人的承诺。</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3.7.3投标文件全部采用电子文档，除投标人须知前附表另有规定外，投标文件所附证书证件均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签字或盖章的具体要求见投标人须知前附表。</w:t>
      </w:r>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208" w:name="_Toc532285463"/>
      <w:bookmarkStart w:id="209" w:name="_Toc60646636"/>
      <w:bookmarkStart w:id="210" w:name="_Toc508806364"/>
      <w:bookmarkStart w:id="211" w:name="_Toc505439877"/>
      <w:bookmarkStart w:id="212" w:name="_Toc532388773"/>
      <w:r>
        <w:rPr>
          <w:rFonts w:ascii="Times New Roman" w:hAnsi="Times New Roman" w:eastAsia="黑体" w:cs="Times New Roman"/>
          <w:b/>
          <w:color w:val="000000"/>
          <w:sz w:val="32"/>
          <w:highlight w:val="none"/>
          <w:shd w:val="clear" w:color="auto" w:fill="auto"/>
        </w:rPr>
        <w:t>4.投标</w:t>
      </w:r>
      <w:bookmarkEnd w:id="208"/>
      <w:bookmarkEnd w:id="209"/>
      <w:bookmarkEnd w:id="210"/>
      <w:bookmarkEnd w:id="211"/>
      <w:bookmarkEnd w:id="212"/>
    </w:p>
    <w:p>
      <w:pPr>
        <w:pStyle w:val="168"/>
        <w:spacing w:before="0" w:after="0" w:line="360" w:lineRule="auto"/>
        <w:outlineLvl w:val="2"/>
        <w:rPr>
          <w:rFonts w:eastAsia="黑体"/>
          <w:b/>
          <w:sz w:val="28"/>
          <w:szCs w:val="28"/>
          <w:highlight w:val="none"/>
          <w:shd w:val="clear" w:color="auto" w:fill="auto"/>
        </w:rPr>
      </w:pPr>
      <w:bookmarkStart w:id="213" w:name="_Toc505281206"/>
      <w:bookmarkStart w:id="214" w:name="_Toc508806365"/>
      <w:bookmarkStart w:id="215" w:name="_Toc505439878"/>
      <w:bookmarkStart w:id="216" w:name="_Toc505001481"/>
      <w:r>
        <w:rPr>
          <w:rFonts w:eastAsia="黑体"/>
          <w:b/>
          <w:sz w:val="28"/>
          <w:szCs w:val="28"/>
          <w:highlight w:val="none"/>
          <w:shd w:val="clear" w:color="auto" w:fill="auto"/>
        </w:rPr>
        <w:t>4.1 投标文件的密封和标记</w:t>
      </w:r>
      <w:bookmarkEnd w:id="213"/>
      <w:bookmarkEnd w:id="214"/>
      <w:bookmarkEnd w:id="215"/>
      <w:bookmarkEnd w:id="216"/>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4.1.1</w:t>
      </w:r>
      <w:r>
        <w:rPr>
          <w:rFonts w:ascii="Times New Roman" w:hAnsi="Times New Roman" w:eastAsiaTheme="minorEastAsia"/>
          <w:color w:val="000000"/>
          <w:sz w:val="21"/>
          <w:szCs w:val="21"/>
          <w:highlight w:val="none"/>
          <w:shd w:val="clear" w:color="auto" w:fill="auto"/>
          <w:lang w:eastAsia="zh-CN"/>
        </w:rPr>
        <w:t>投标人应当按照招标文件和电子采购平台的要求加密投标文件，具体要求见投标人须知前附表</w:t>
      </w:r>
      <w:r>
        <w:rPr>
          <w:rFonts w:ascii="Times New Roman" w:hAnsi="Times New Roman" w:eastAsiaTheme="minorEastAsia"/>
          <w:sz w:val="21"/>
          <w:szCs w:val="21"/>
          <w:highlight w:val="none"/>
          <w:shd w:val="clear" w:color="auto" w:fill="auto"/>
          <w:lang w:eastAsia="zh-CN"/>
        </w:rPr>
        <w:t>。</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4.1.2投标文件封套上应写明的内容见投标人须知前附表。</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4.1.3未按本章第4.1.1项要求密封的投标文件，招标人将予以拒收。</w:t>
      </w:r>
    </w:p>
    <w:p>
      <w:pPr>
        <w:pStyle w:val="168"/>
        <w:spacing w:before="0" w:after="0" w:line="360" w:lineRule="auto"/>
        <w:outlineLvl w:val="2"/>
        <w:rPr>
          <w:rFonts w:eastAsia="黑体"/>
          <w:b/>
          <w:sz w:val="28"/>
          <w:szCs w:val="28"/>
          <w:highlight w:val="none"/>
          <w:shd w:val="clear" w:color="auto" w:fill="auto"/>
        </w:rPr>
      </w:pPr>
      <w:bookmarkStart w:id="217" w:name="_Toc505439879"/>
      <w:bookmarkStart w:id="218" w:name="_Toc505281207"/>
      <w:bookmarkStart w:id="219" w:name="_Toc508806366"/>
      <w:bookmarkStart w:id="220" w:name="_Toc505001482"/>
      <w:r>
        <w:rPr>
          <w:rFonts w:eastAsia="黑体"/>
          <w:b/>
          <w:sz w:val="28"/>
          <w:szCs w:val="28"/>
          <w:highlight w:val="none"/>
          <w:shd w:val="clear" w:color="auto" w:fill="auto"/>
        </w:rPr>
        <w:t>4.2 投标文件的递交</w:t>
      </w:r>
      <w:bookmarkEnd w:id="217"/>
      <w:bookmarkEnd w:id="218"/>
      <w:bookmarkEnd w:id="219"/>
      <w:bookmarkEnd w:id="220"/>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4.2.1投标人应在投标人须知前附表规定的投标截止时间前递交投标文件。</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4.2.2</w:t>
      </w:r>
      <w:r>
        <w:rPr>
          <w:rFonts w:ascii="Times New Roman" w:hAnsi="Times New Roman" w:eastAsiaTheme="minorEastAsia"/>
          <w:bCs/>
          <w:iCs/>
          <w:sz w:val="21"/>
          <w:szCs w:val="21"/>
          <w:highlight w:val="none"/>
          <w:shd w:val="clear" w:color="auto" w:fill="auto"/>
          <w:lang w:eastAsia="zh-CN"/>
        </w:rPr>
        <w:t>投标人通过下载招标文件的</w:t>
      </w:r>
      <w:r>
        <w:rPr>
          <w:rFonts w:ascii="Times New Roman" w:hAnsi="Times New Roman" w:eastAsiaTheme="minorEastAsia"/>
          <w:sz w:val="21"/>
          <w:szCs w:val="21"/>
          <w:highlight w:val="none"/>
          <w:shd w:val="clear" w:color="auto" w:fill="auto"/>
          <w:lang w:eastAsia="zh-CN"/>
        </w:rPr>
        <w:t>电子招标投标交易平台</w:t>
      </w:r>
      <w:r>
        <w:rPr>
          <w:rFonts w:ascii="Times New Roman" w:hAnsi="Times New Roman" w:eastAsiaTheme="minorEastAsia"/>
          <w:bCs/>
          <w:iCs/>
          <w:sz w:val="21"/>
          <w:szCs w:val="21"/>
          <w:highlight w:val="none"/>
          <w:shd w:val="clear" w:color="auto" w:fill="auto"/>
          <w:lang w:eastAsia="zh-CN"/>
        </w:rPr>
        <w:t>递交电子投标文件</w:t>
      </w:r>
      <w:r>
        <w:rPr>
          <w:rFonts w:ascii="Times New Roman" w:hAnsi="Times New Roman" w:eastAsiaTheme="minorEastAsia"/>
          <w:sz w:val="21"/>
          <w:szCs w:val="21"/>
          <w:highlight w:val="none"/>
          <w:shd w:val="clear" w:color="auto" w:fill="auto"/>
          <w:lang w:eastAsia="zh-CN"/>
        </w:rPr>
        <w:t>。</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4.2.3除投标人须知前附表另有规定外，投标人所递交的投标文件不予退还。</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4.2.4投标人完成电子投标文件上传后，电子招标投标交易平台即时向投标人发出递交回执通知。递交时间以递交回执通知载明的传输完成时间为准。</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4.2.5逾期送达的投标文件，电子招标投标交易平台将予以拒收。</w:t>
      </w:r>
    </w:p>
    <w:p>
      <w:pPr>
        <w:pStyle w:val="168"/>
        <w:spacing w:before="0" w:after="0" w:line="360" w:lineRule="auto"/>
        <w:outlineLvl w:val="2"/>
        <w:rPr>
          <w:rFonts w:eastAsia="黑体"/>
          <w:b/>
          <w:sz w:val="28"/>
          <w:szCs w:val="28"/>
          <w:highlight w:val="none"/>
          <w:shd w:val="clear" w:color="auto" w:fill="auto"/>
        </w:rPr>
      </w:pPr>
      <w:bookmarkStart w:id="221" w:name="_Toc508806367"/>
      <w:bookmarkStart w:id="222" w:name="_Toc505001483"/>
      <w:bookmarkStart w:id="223" w:name="_Toc505439880"/>
      <w:bookmarkStart w:id="224" w:name="_Toc505281208"/>
      <w:r>
        <w:rPr>
          <w:rFonts w:eastAsia="黑体"/>
          <w:b/>
          <w:sz w:val="28"/>
          <w:szCs w:val="28"/>
          <w:highlight w:val="none"/>
          <w:shd w:val="clear" w:color="auto" w:fill="auto"/>
        </w:rPr>
        <w:t>4.3 投标文件的修改与撤回</w:t>
      </w:r>
      <w:bookmarkEnd w:id="221"/>
      <w:bookmarkEnd w:id="222"/>
      <w:bookmarkEnd w:id="223"/>
      <w:bookmarkEnd w:id="224"/>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4.3.1在本章第4.2.1项规定的投标截止时间前，投标人可以修改或撤回已递交的投标文件，但应以书面形式通知招标人。</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4.3.2投标人修改或撤回已递交投标文件的通知，应按照本章第3.7.3项的要求加盖电子印章。电子招标投标交易平台</w:t>
      </w:r>
      <w:r>
        <w:rPr>
          <w:rFonts w:ascii="Times New Roman" w:hAnsi="Times New Roman" w:eastAsiaTheme="minorEastAsia"/>
          <w:bCs/>
          <w:iCs/>
          <w:sz w:val="21"/>
          <w:szCs w:val="21"/>
          <w:highlight w:val="none"/>
          <w:shd w:val="clear" w:color="auto" w:fill="auto"/>
          <w:lang w:eastAsia="zh-CN"/>
        </w:rPr>
        <w:t>收到通知后，</w:t>
      </w:r>
      <w:r>
        <w:rPr>
          <w:rFonts w:ascii="Times New Roman" w:hAnsi="Times New Roman" w:eastAsiaTheme="minorEastAsia"/>
          <w:sz w:val="21"/>
          <w:szCs w:val="21"/>
          <w:highlight w:val="none"/>
          <w:shd w:val="clear" w:color="auto" w:fill="auto"/>
          <w:lang w:eastAsia="zh-CN"/>
        </w:rPr>
        <w:t>即时向投标人发出确认回执通知。</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4.3.3投标人撤回投标文件的，招标人自收到投标人书面撤回通知之日起5日内退还已收取的投标保证金。</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4.3.</w:t>
      </w:r>
      <w:bookmarkStart w:id="225" w:name="_Toc361508610"/>
      <w:bookmarkStart w:id="226" w:name="_Toc144974521"/>
      <w:bookmarkStart w:id="227" w:name="_Toc352691497"/>
      <w:bookmarkStart w:id="228" w:name="_Toc300834974"/>
      <w:bookmarkStart w:id="229" w:name="_Toc369531541"/>
      <w:bookmarkStart w:id="230" w:name="_Toc152042329"/>
      <w:bookmarkStart w:id="231" w:name="_Toc247527578"/>
      <w:bookmarkStart w:id="232" w:name="_Toc247513977"/>
      <w:bookmarkStart w:id="233" w:name="_Toc19203"/>
      <w:bookmarkStart w:id="234" w:name="_Toc384308235"/>
      <w:bookmarkStart w:id="235" w:name="_Toc152045553"/>
      <w:r>
        <w:rPr>
          <w:rFonts w:ascii="Times New Roman" w:hAnsi="Times New Roman" w:eastAsiaTheme="minorEastAsia"/>
          <w:sz w:val="21"/>
          <w:szCs w:val="21"/>
          <w:highlight w:val="none"/>
          <w:shd w:val="clear" w:color="auto" w:fill="auto"/>
          <w:lang w:eastAsia="zh-CN"/>
        </w:rPr>
        <w:t>4修改的内容为投标</w:t>
      </w:r>
      <w:bookmarkEnd w:id="225"/>
      <w:bookmarkEnd w:id="226"/>
      <w:bookmarkEnd w:id="227"/>
      <w:bookmarkEnd w:id="228"/>
      <w:bookmarkEnd w:id="229"/>
      <w:bookmarkEnd w:id="230"/>
      <w:bookmarkEnd w:id="231"/>
      <w:bookmarkEnd w:id="232"/>
      <w:bookmarkEnd w:id="233"/>
      <w:bookmarkEnd w:id="234"/>
      <w:bookmarkEnd w:id="235"/>
      <w:r>
        <w:rPr>
          <w:rFonts w:ascii="Times New Roman" w:hAnsi="Times New Roman" w:eastAsiaTheme="minorEastAsia"/>
          <w:sz w:val="21"/>
          <w:szCs w:val="21"/>
          <w:highlight w:val="none"/>
          <w:shd w:val="clear" w:color="auto" w:fill="auto"/>
          <w:lang w:eastAsia="zh-CN"/>
        </w:rPr>
        <w:t>文件的组成部分。修改的投标文件应按照本章第3条、第4条的规定进行编制、密封、标记和递交，并标明“修改”字样。</w:t>
      </w:r>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236" w:name="_Toc505001484"/>
      <w:bookmarkStart w:id="237" w:name="_Toc532388774"/>
      <w:bookmarkStart w:id="238" w:name="_Toc505281209"/>
      <w:bookmarkStart w:id="239" w:name="_Toc505439881"/>
      <w:bookmarkStart w:id="240" w:name="_Toc532285464"/>
      <w:bookmarkStart w:id="241" w:name="_Toc60646637"/>
      <w:bookmarkStart w:id="242" w:name="_Toc508806368"/>
      <w:r>
        <w:rPr>
          <w:rFonts w:ascii="Times New Roman" w:hAnsi="Times New Roman" w:eastAsia="黑体" w:cs="Times New Roman"/>
          <w:b/>
          <w:color w:val="000000"/>
          <w:sz w:val="32"/>
          <w:highlight w:val="none"/>
          <w:shd w:val="clear" w:color="auto" w:fill="auto"/>
        </w:rPr>
        <w:t>5.开标</w:t>
      </w:r>
      <w:bookmarkEnd w:id="236"/>
      <w:bookmarkEnd w:id="237"/>
      <w:bookmarkEnd w:id="238"/>
      <w:bookmarkEnd w:id="239"/>
      <w:bookmarkEnd w:id="240"/>
      <w:bookmarkEnd w:id="241"/>
      <w:bookmarkEnd w:id="242"/>
    </w:p>
    <w:p>
      <w:pPr>
        <w:pStyle w:val="168"/>
        <w:spacing w:before="0" w:after="0" w:line="360" w:lineRule="auto"/>
        <w:outlineLvl w:val="2"/>
        <w:rPr>
          <w:rFonts w:eastAsia="黑体"/>
          <w:b/>
          <w:sz w:val="28"/>
          <w:szCs w:val="28"/>
          <w:highlight w:val="none"/>
          <w:shd w:val="clear" w:color="auto" w:fill="auto"/>
        </w:rPr>
      </w:pPr>
      <w:bookmarkStart w:id="243" w:name="_Toc505439882"/>
      <w:bookmarkStart w:id="244" w:name="_Toc505001485"/>
      <w:bookmarkStart w:id="245" w:name="_Toc508806369"/>
      <w:bookmarkStart w:id="246" w:name="_Toc505281210"/>
      <w:r>
        <w:rPr>
          <w:rFonts w:eastAsia="黑体"/>
          <w:b/>
          <w:sz w:val="28"/>
          <w:szCs w:val="28"/>
          <w:highlight w:val="none"/>
          <w:shd w:val="clear" w:color="auto" w:fill="auto"/>
        </w:rPr>
        <w:t>5.1 开标时间和地点</w:t>
      </w:r>
      <w:bookmarkEnd w:id="243"/>
      <w:bookmarkEnd w:id="244"/>
      <w:bookmarkEnd w:id="245"/>
      <w:bookmarkEnd w:id="246"/>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招标人在本章第4.2.1项规定的投标截止时间（开标时间），通过电子招标投标交易平台公开开标，所有投标人的法定代表人或其委托代理人应当准时参加。</w:t>
      </w:r>
    </w:p>
    <w:p>
      <w:pPr>
        <w:pStyle w:val="168"/>
        <w:spacing w:before="0" w:after="0" w:line="360" w:lineRule="auto"/>
        <w:outlineLvl w:val="2"/>
        <w:rPr>
          <w:rFonts w:eastAsia="黑体"/>
          <w:b/>
          <w:sz w:val="28"/>
          <w:szCs w:val="28"/>
          <w:highlight w:val="none"/>
          <w:shd w:val="clear" w:color="auto" w:fill="auto"/>
        </w:rPr>
      </w:pPr>
      <w:bookmarkStart w:id="247" w:name="_Toc508806370"/>
      <w:bookmarkStart w:id="248" w:name="_Toc505001487"/>
      <w:bookmarkStart w:id="249" w:name="_Toc505281211"/>
      <w:bookmarkStart w:id="250" w:name="_Toc505439883"/>
      <w:r>
        <w:rPr>
          <w:rFonts w:eastAsia="黑体"/>
          <w:b/>
          <w:sz w:val="28"/>
          <w:szCs w:val="28"/>
          <w:highlight w:val="none"/>
          <w:shd w:val="clear" w:color="auto" w:fill="auto"/>
        </w:rPr>
        <w:t>5.2 开标程序</w:t>
      </w:r>
      <w:bookmarkEnd w:id="247"/>
      <w:bookmarkEnd w:id="248"/>
      <w:bookmarkEnd w:id="249"/>
      <w:bookmarkEnd w:id="250"/>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主持人按下列程序进行开标：</w:t>
      </w:r>
    </w:p>
    <w:p>
      <w:pPr>
        <w:spacing w:before="0" w:after="0" w:line="360" w:lineRule="auto"/>
        <w:ind w:firstLine="420" w:firstLineChars="200"/>
        <w:rPr>
          <w:rFonts w:ascii="Times New Roman" w:hAnsi="Times New Roman" w:cs="Times New Roman"/>
          <w:kern w:val="0"/>
          <w:szCs w:val="21"/>
          <w:highlight w:val="none"/>
          <w:shd w:val="clear" w:color="auto" w:fill="auto"/>
        </w:rPr>
      </w:pPr>
      <w:bookmarkStart w:id="251" w:name="_Toc505001488"/>
      <w:bookmarkStart w:id="252" w:name="_Toc508806371"/>
      <w:bookmarkStart w:id="253" w:name="_Toc505439884"/>
      <w:bookmarkStart w:id="254" w:name="_Toc505281212"/>
      <w:r>
        <w:rPr>
          <w:rFonts w:ascii="Times New Roman" w:hAnsi="Times New Roman" w:cs="Times New Roman"/>
          <w:kern w:val="0"/>
          <w:szCs w:val="21"/>
          <w:highlight w:val="none"/>
          <w:shd w:val="clear" w:color="auto" w:fill="auto"/>
        </w:rPr>
        <w:t>（1）宣布开标纪律；</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（2）公布在投标截止时间前递交投标文件的投标人名称；</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（3）宣布开标人、唱标人、记录人、监标人等有关人员姓名；</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（4）</w:t>
      </w:r>
      <w:r>
        <w:rPr>
          <w:rFonts w:ascii="Times New Roman" w:hAnsi="Times New Roman" w:cs="Times New Roman"/>
          <w:highlight w:val="none"/>
          <w:shd w:val="clear" w:color="auto" w:fill="auto"/>
        </w:rPr>
        <w:t>投标人通过电子招标投标交易平台对已递交的电子投标文件进行解密，公布招标项目名称、投标人名称、投标保证金的递交情况、投标报价、交货期、交货地点及其他内容，并记录在案</w:t>
      </w:r>
      <w:r>
        <w:rPr>
          <w:rFonts w:ascii="Times New Roman" w:hAnsi="Times New Roman" w:cs="Times New Roman"/>
          <w:kern w:val="0"/>
          <w:szCs w:val="21"/>
          <w:highlight w:val="none"/>
          <w:shd w:val="clear" w:color="auto" w:fill="auto"/>
        </w:rPr>
        <w:t>；</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（5）投标人代表、招标人代表、监标人、记录人等有关人员使用本人的电子印章在开标记录上签字确认；</w:t>
      </w:r>
    </w:p>
    <w:p>
      <w:pPr>
        <w:spacing w:before="0" w:after="0" w:line="360" w:lineRule="auto"/>
        <w:ind w:firstLine="420" w:firstLineChars="200"/>
        <w:rPr>
          <w:rFonts w:ascii="Times New Roman" w:hAnsi="Times New Roman" w:cs="Times New Roman"/>
          <w:highlight w:val="none"/>
          <w:shd w:val="clear" w:color="auto" w:fill="auto"/>
        </w:rPr>
      </w:pPr>
      <w:r>
        <w:rPr>
          <w:rFonts w:ascii="Times New Roman" w:hAnsi="Times New Roman" w:cs="Times New Roman"/>
          <w:kern w:val="0"/>
          <w:szCs w:val="21"/>
          <w:highlight w:val="none"/>
          <w:shd w:val="clear" w:color="auto" w:fill="auto"/>
        </w:rPr>
        <w:t>（6）开标结束。</w:t>
      </w:r>
    </w:p>
    <w:p>
      <w:pPr>
        <w:pStyle w:val="168"/>
        <w:spacing w:before="0" w:after="0" w:line="360" w:lineRule="auto"/>
        <w:outlineLvl w:val="2"/>
        <w:rPr>
          <w:rFonts w:eastAsia="黑体"/>
          <w:b/>
          <w:sz w:val="28"/>
          <w:szCs w:val="28"/>
          <w:highlight w:val="none"/>
          <w:shd w:val="clear" w:color="auto" w:fill="auto"/>
        </w:rPr>
      </w:pPr>
      <w:r>
        <w:rPr>
          <w:rFonts w:eastAsia="黑体"/>
          <w:b/>
          <w:sz w:val="28"/>
          <w:szCs w:val="28"/>
          <w:highlight w:val="none"/>
          <w:shd w:val="clear" w:color="auto" w:fill="auto"/>
        </w:rPr>
        <w:t>5.3 开标异议</w:t>
      </w:r>
      <w:bookmarkEnd w:id="251"/>
      <w:bookmarkEnd w:id="252"/>
      <w:bookmarkEnd w:id="253"/>
      <w:bookmarkEnd w:id="254"/>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投标人对开标有异议的，应当在开标现场提出，招标人当场作出答复，并制作记录。</w:t>
      </w:r>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255" w:name="_Toc60646638"/>
      <w:bookmarkStart w:id="256" w:name="_Toc505001489"/>
      <w:bookmarkStart w:id="257" w:name="_Toc505439885"/>
      <w:bookmarkStart w:id="258" w:name="_Toc532285465"/>
      <w:bookmarkStart w:id="259" w:name="_Toc508806372"/>
      <w:bookmarkStart w:id="260" w:name="_Toc532388775"/>
      <w:bookmarkStart w:id="261" w:name="_Toc505281213"/>
      <w:r>
        <w:rPr>
          <w:rFonts w:ascii="Times New Roman" w:hAnsi="Times New Roman" w:eastAsia="黑体" w:cs="Times New Roman"/>
          <w:b/>
          <w:color w:val="000000"/>
          <w:sz w:val="32"/>
          <w:highlight w:val="none"/>
          <w:shd w:val="clear" w:color="auto" w:fill="auto"/>
        </w:rPr>
        <w:t>6.评标</w:t>
      </w:r>
      <w:bookmarkEnd w:id="255"/>
      <w:bookmarkEnd w:id="256"/>
      <w:bookmarkEnd w:id="257"/>
      <w:bookmarkEnd w:id="258"/>
      <w:bookmarkEnd w:id="259"/>
      <w:bookmarkEnd w:id="260"/>
      <w:bookmarkEnd w:id="261"/>
    </w:p>
    <w:p>
      <w:pPr>
        <w:pStyle w:val="168"/>
        <w:spacing w:before="0" w:after="0" w:line="360" w:lineRule="auto"/>
        <w:outlineLvl w:val="2"/>
        <w:rPr>
          <w:rFonts w:eastAsia="黑体"/>
          <w:b/>
          <w:sz w:val="28"/>
          <w:szCs w:val="28"/>
          <w:highlight w:val="none"/>
          <w:shd w:val="clear" w:color="auto" w:fill="auto"/>
        </w:rPr>
      </w:pPr>
      <w:bookmarkStart w:id="262" w:name="_Toc505281214"/>
      <w:bookmarkStart w:id="263" w:name="_Toc505001490"/>
      <w:bookmarkStart w:id="264" w:name="_Toc508806373"/>
      <w:bookmarkStart w:id="265" w:name="_Toc505439886"/>
      <w:r>
        <w:rPr>
          <w:rFonts w:eastAsia="黑体"/>
          <w:b/>
          <w:sz w:val="28"/>
          <w:szCs w:val="28"/>
          <w:highlight w:val="none"/>
          <w:shd w:val="clear" w:color="auto" w:fill="auto"/>
        </w:rPr>
        <w:t>6.1 评标委员会</w:t>
      </w:r>
      <w:bookmarkEnd w:id="262"/>
      <w:bookmarkEnd w:id="263"/>
      <w:bookmarkEnd w:id="264"/>
      <w:bookmarkEnd w:id="265"/>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6.1.1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6.1.2评标委员会成员有下列情形之一的，应当回避：</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（1）投标人或投标人主要负责人的近亲属；</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（2）项目主管部门或者行政监督部门的人员；</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（3）与投标人有经济利益关系，可能影响对投标公正评审的；</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（4）曾因在招标、评</w:t>
      </w:r>
      <w:bookmarkStart w:id="266" w:name="_Toc144974523"/>
      <w:bookmarkStart w:id="267" w:name="_Toc300834976"/>
      <w:bookmarkStart w:id="268" w:name="_Toc152045555"/>
      <w:bookmarkStart w:id="269" w:name="_Toc247527580"/>
      <w:bookmarkStart w:id="270" w:name="_Toc361508612"/>
      <w:bookmarkStart w:id="271" w:name="_Toc152042331"/>
      <w:bookmarkStart w:id="272" w:name="_Toc352691499"/>
      <w:bookmarkStart w:id="273" w:name="_Toc247513979"/>
      <w:bookmarkStart w:id="274" w:name="_Toc369531543"/>
      <w:bookmarkStart w:id="275" w:name="_Toc384308237"/>
      <w:bookmarkStart w:id="276" w:name="_Toc6230"/>
      <w:r>
        <w:rPr>
          <w:rFonts w:ascii="Times New Roman" w:hAnsi="Times New Roman" w:eastAsiaTheme="minorEastAsia"/>
          <w:sz w:val="21"/>
          <w:szCs w:val="21"/>
          <w:highlight w:val="none"/>
          <w:shd w:val="clear" w:color="auto" w:fill="auto"/>
          <w:lang w:eastAsia="zh-CN"/>
        </w:rPr>
        <w:t>标以及其他</w:t>
      </w:r>
      <w:bookmarkEnd w:id="266"/>
      <w:bookmarkEnd w:id="267"/>
      <w:bookmarkEnd w:id="268"/>
      <w:bookmarkEnd w:id="269"/>
      <w:bookmarkEnd w:id="270"/>
      <w:bookmarkEnd w:id="271"/>
      <w:bookmarkEnd w:id="272"/>
      <w:bookmarkEnd w:id="273"/>
      <w:bookmarkEnd w:id="274"/>
      <w:bookmarkEnd w:id="275"/>
      <w:bookmarkEnd w:id="276"/>
      <w:r>
        <w:rPr>
          <w:rFonts w:ascii="Times New Roman" w:hAnsi="Times New Roman" w:eastAsiaTheme="minorEastAsia"/>
          <w:sz w:val="21"/>
          <w:szCs w:val="21"/>
          <w:highlight w:val="none"/>
          <w:shd w:val="clear" w:color="auto" w:fill="auto"/>
          <w:lang w:eastAsia="zh-CN"/>
        </w:rPr>
        <w:t>与</w:t>
      </w:r>
      <w:bookmarkStart w:id="277" w:name="_Toc369531544"/>
      <w:bookmarkStart w:id="278" w:name="_Toc300834977"/>
      <w:bookmarkStart w:id="279" w:name="_Toc152045556"/>
      <w:bookmarkStart w:id="280" w:name="_Toc247513980"/>
      <w:bookmarkStart w:id="281" w:name="_Toc352691500"/>
      <w:bookmarkStart w:id="282" w:name="_Toc361508613"/>
      <w:bookmarkStart w:id="283" w:name="_Toc384308238"/>
      <w:bookmarkStart w:id="284" w:name="_Toc144974524"/>
      <w:bookmarkStart w:id="285" w:name="_Toc17703"/>
      <w:bookmarkStart w:id="286" w:name="_Toc152042332"/>
      <w:bookmarkStart w:id="287" w:name="_Toc247527581"/>
      <w:r>
        <w:rPr>
          <w:rFonts w:ascii="Times New Roman" w:hAnsi="Times New Roman" w:eastAsiaTheme="minorEastAsia"/>
          <w:sz w:val="21"/>
          <w:szCs w:val="21"/>
          <w:highlight w:val="none"/>
          <w:shd w:val="clear" w:color="auto" w:fill="auto"/>
          <w:lang w:eastAsia="zh-CN"/>
        </w:rPr>
        <w:t>招标投标有关活动中从事违法行</w:t>
      </w:r>
      <w:bookmarkEnd w:id="277"/>
      <w:bookmarkEnd w:id="278"/>
      <w:bookmarkEnd w:id="279"/>
      <w:bookmarkEnd w:id="280"/>
      <w:bookmarkEnd w:id="281"/>
      <w:bookmarkEnd w:id="282"/>
      <w:bookmarkEnd w:id="283"/>
      <w:bookmarkEnd w:id="284"/>
      <w:bookmarkEnd w:id="285"/>
      <w:bookmarkEnd w:id="286"/>
      <w:bookmarkEnd w:id="287"/>
      <w:r>
        <w:rPr>
          <w:rFonts w:ascii="Times New Roman" w:hAnsi="Times New Roman" w:eastAsiaTheme="minorEastAsia"/>
          <w:sz w:val="21"/>
          <w:szCs w:val="21"/>
          <w:highlight w:val="none"/>
          <w:shd w:val="clear" w:color="auto" w:fill="auto"/>
          <w:lang w:eastAsia="zh-CN"/>
        </w:rPr>
        <w:t>为而受过行政处罚或刑事处罚的；</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（5）与投标人有其他利害关系。</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6.1.3评标过程中，评标委员会成员有回避事由、擅离职守或者因健康等原因不能继续评标的，招标人有权更换。被更换的评标委员会成员作出的评审结论无效，由更换后的评标委员会成员重新进行评审。</w:t>
      </w:r>
    </w:p>
    <w:p>
      <w:pPr>
        <w:pStyle w:val="168"/>
        <w:spacing w:before="0" w:after="0" w:line="360" w:lineRule="auto"/>
        <w:outlineLvl w:val="2"/>
        <w:rPr>
          <w:rFonts w:eastAsia="黑体"/>
          <w:b/>
          <w:sz w:val="28"/>
          <w:szCs w:val="28"/>
          <w:highlight w:val="none"/>
          <w:shd w:val="clear" w:color="auto" w:fill="auto"/>
        </w:rPr>
      </w:pPr>
      <w:bookmarkStart w:id="288" w:name="_Toc505001491"/>
      <w:bookmarkStart w:id="289" w:name="_Toc508806374"/>
      <w:bookmarkStart w:id="290" w:name="_Toc505281215"/>
      <w:bookmarkStart w:id="291" w:name="_Toc505439887"/>
      <w:r>
        <w:rPr>
          <w:rFonts w:eastAsia="黑体"/>
          <w:b/>
          <w:sz w:val="28"/>
          <w:szCs w:val="28"/>
          <w:highlight w:val="none"/>
          <w:shd w:val="clear" w:color="auto" w:fill="auto"/>
        </w:rPr>
        <w:t>6.2 评标原则</w:t>
      </w:r>
      <w:bookmarkEnd w:id="288"/>
      <w:bookmarkEnd w:id="289"/>
      <w:bookmarkEnd w:id="290"/>
      <w:bookmarkEnd w:id="291"/>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评标活动遵循公平、公正、科学和择优的原</w:t>
      </w:r>
      <w:bookmarkStart w:id="292" w:name="_Toc247527582"/>
      <w:bookmarkStart w:id="293" w:name="_Toc352691501"/>
      <w:bookmarkStart w:id="294" w:name="_Toc300834978"/>
      <w:bookmarkStart w:id="295" w:name="_Toc152045557"/>
      <w:bookmarkStart w:id="296" w:name="_Toc369531545"/>
      <w:bookmarkStart w:id="297" w:name="_Toc384308239"/>
      <w:bookmarkStart w:id="298" w:name="_Toc152042333"/>
      <w:bookmarkStart w:id="299" w:name="_Toc18949"/>
      <w:bookmarkStart w:id="300" w:name="_Toc247513981"/>
      <w:bookmarkStart w:id="301" w:name="_Toc361508614"/>
      <w:bookmarkStart w:id="302" w:name="_Toc144974525"/>
      <w:r>
        <w:rPr>
          <w:rFonts w:ascii="Times New Roman" w:hAnsi="Times New Roman" w:eastAsiaTheme="minorEastAsia"/>
          <w:sz w:val="21"/>
          <w:szCs w:val="21"/>
          <w:highlight w:val="none"/>
          <w:shd w:val="clear" w:color="auto" w:fill="auto"/>
          <w:lang w:eastAsia="zh-CN"/>
        </w:rPr>
        <w:t>则。</w:t>
      </w:r>
    </w:p>
    <w:p>
      <w:pPr>
        <w:pStyle w:val="168"/>
        <w:spacing w:before="0" w:after="0" w:line="360" w:lineRule="auto"/>
        <w:outlineLvl w:val="2"/>
        <w:rPr>
          <w:rFonts w:eastAsia="黑体"/>
          <w:b/>
          <w:sz w:val="28"/>
          <w:szCs w:val="28"/>
          <w:highlight w:val="none"/>
          <w:shd w:val="clear" w:color="auto" w:fill="auto"/>
        </w:rPr>
      </w:pPr>
      <w:bookmarkStart w:id="303" w:name="_Toc505001492"/>
      <w:bookmarkStart w:id="304" w:name="_Toc508806375"/>
      <w:bookmarkStart w:id="305" w:name="_Toc505281216"/>
      <w:bookmarkStart w:id="306" w:name="_Toc505439888"/>
      <w:r>
        <w:rPr>
          <w:rFonts w:eastAsia="黑体"/>
          <w:b/>
          <w:sz w:val="28"/>
          <w:szCs w:val="28"/>
          <w:highlight w:val="none"/>
          <w:shd w:val="clear" w:color="auto" w:fill="auto"/>
        </w:rPr>
        <w:t>6.3 评标</w:t>
      </w:r>
      <w:bookmarkEnd w:id="303"/>
      <w:bookmarkEnd w:id="304"/>
      <w:bookmarkEnd w:id="305"/>
      <w:bookmarkEnd w:id="306"/>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6</w:t>
      </w:r>
      <w:bookmarkEnd w:id="292"/>
      <w:bookmarkEnd w:id="293"/>
      <w:bookmarkEnd w:id="294"/>
      <w:bookmarkEnd w:id="295"/>
      <w:bookmarkEnd w:id="296"/>
      <w:bookmarkEnd w:id="297"/>
      <w:bookmarkEnd w:id="298"/>
      <w:bookmarkEnd w:id="299"/>
      <w:bookmarkEnd w:id="300"/>
      <w:bookmarkEnd w:id="301"/>
      <w:bookmarkEnd w:id="302"/>
      <w:r>
        <w:rPr>
          <w:rFonts w:ascii="Times New Roman" w:hAnsi="Times New Roman" w:eastAsiaTheme="minorEastAsia"/>
          <w:sz w:val="21"/>
          <w:szCs w:val="21"/>
          <w:highlight w:val="none"/>
          <w:shd w:val="clear" w:color="auto" w:fill="auto"/>
          <w:lang w:eastAsia="zh-CN"/>
        </w:rPr>
        <w:t>.3.1评标委员会按照第三章“评标办法”规定的方法、评审因素、标准和程序对投标文件进行评审。第三章“评标办法”没有规定的方法、评审因素和标准，不作为评标依据。</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6.3.2评标完成后，评标委员会应当向招标人提交书面评标报告和中标候选人名单。评标委员会推荐中标</w:t>
      </w:r>
      <w:bookmarkStart w:id="307" w:name="_Toc247513982"/>
      <w:bookmarkStart w:id="308" w:name="_Toc152045558"/>
      <w:bookmarkStart w:id="309" w:name="_Toc152042334"/>
      <w:bookmarkStart w:id="310" w:name="_Toc352691502"/>
      <w:bookmarkStart w:id="311" w:name="_Toc300834979"/>
      <w:bookmarkStart w:id="312" w:name="_Toc12259"/>
      <w:bookmarkStart w:id="313" w:name="_Toc369531546"/>
      <w:bookmarkStart w:id="314" w:name="_Toc361508615"/>
      <w:bookmarkStart w:id="315" w:name="_Toc247527583"/>
      <w:bookmarkStart w:id="316" w:name="_Toc144974526"/>
      <w:bookmarkStart w:id="317" w:name="_Toc384308240"/>
      <w:r>
        <w:rPr>
          <w:rFonts w:ascii="Times New Roman" w:hAnsi="Times New Roman" w:eastAsiaTheme="minorEastAsia"/>
          <w:sz w:val="21"/>
          <w:szCs w:val="21"/>
          <w:highlight w:val="none"/>
          <w:shd w:val="clear" w:color="auto" w:fill="auto"/>
          <w:lang w:eastAsia="zh-CN"/>
        </w:rPr>
        <w:t>候选人的人数见投标人须知前附</w:t>
      </w:r>
      <w:bookmarkEnd w:id="307"/>
      <w:bookmarkEnd w:id="308"/>
      <w:bookmarkEnd w:id="309"/>
      <w:bookmarkEnd w:id="310"/>
      <w:bookmarkEnd w:id="311"/>
      <w:bookmarkEnd w:id="312"/>
      <w:bookmarkEnd w:id="313"/>
      <w:bookmarkEnd w:id="314"/>
      <w:bookmarkEnd w:id="315"/>
      <w:bookmarkEnd w:id="316"/>
      <w:bookmarkEnd w:id="317"/>
      <w:r>
        <w:rPr>
          <w:rFonts w:ascii="Times New Roman" w:hAnsi="Times New Roman" w:eastAsiaTheme="minorEastAsia"/>
          <w:sz w:val="21"/>
          <w:szCs w:val="21"/>
          <w:highlight w:val="none"/>
          <w:shd w:val="clear" w:color="auto" w:fill="auto"/>
          <w:lang w:eastAsia="zh-CN"/>
        </w:rPr>
        <w:t>表。</w:t>
      </w:r>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318" w:name="_Toc505439889"/>
      <w:bookmarkStart w:id="319" w:name="_Toc532285466"/>
      <w:bookmarkStart w:id="320" w:name="_Toc60646639"/>
      <w:bookmarkStart w:id="321" w:name="_Toc508806376"/>
      <w:bookmarkStart w:id="322" w:name="_Toc505001493"/>
      <w:bookmarkStart w:id="323" w:name="_Toc505281217"/>
      <w:bookmarkStart w:id="324" w:name="_Toc532388776"/>
      <w:r>
        <w:rPr>
          <w:rFonts w:ascii="Times New Roman" w:hAnsi="Times New Roman" w:eastAsia="黑体" w:cs="Times New Roman"/>
          <w:b/>
          <w:color w:val="000000"/>
          <w:sz w:val="32"/>
          <w:highlight w:val="none"/>
          <w:shd w:val="clear" w:color="auto" w:fill="auto"/>
        </w:rPr>
        <w:t>7.合同授予</w:t>
      </w:r>
      <w:bookmarkEnd w:id="318"/>
      <w:bookmarkEnd w:id="319"/>
      <w:bookmarkEnd w:id="320"/>
      <w:bookmarkEnd w:id="321"/>
      <w:bookmarkEnd w:id="322"/>
      <w:bookmarkEnd w:id="323"/>
      <w:bookmarkEnd w:id="324"/>
    </w:p>
    <w:p>
      <w:pPr>
        <w:pStyle w:val="168"/>
        <w:spacing w:before="0" w:after="0" w:line="360" w:lineRule="auto"/>
        <w:outlineLvl w:val="2"/>
        <w:rPr>
          <w:rFonts w:eastAsia="黑体"/>
          <w:b/>
          <w:sz w:val="28"/>
          <w:szCs w:val="28"/>
          <w:highlight w:val="none"/>
          <w:shd w:val="clear" w:color="auto" w:fill="auto"/>
        </w:rPr>
      </w:pPr>
      <w:bookmarkStart w:id="325" w:name="_Toc505281218"/>
      <w:bookmarkStart w:id="326" w:name="_Toc505439890"/>
      <w:bookmarkStart w:id="327" w:name="_Toc505001494"/>
      <w:r>
        <w:rPr>
          <w:rFonts w:eastAsia="黑体"/>
          <w:b/>
          <w:sz w:val="28"/>
          <w:szCs w:val="28"/>
          <w:highlight w:val="none"/>
          <w:shd w:val="clear" w:color="auto" w:fill="auto"/>
        </w:rPr>
        <w:t>7.1 中标候选人公示</w:t>
      </w:r>
      <w:bookmarkEnd w:id="325"/>
      <w:bookmarkEnd w:id="326"/>
      <w:bookmarkEnd w:id="327"/>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招标人在收到评标报告之日起3日内，按照投标人须知前附表规定的公示媒介和期限公示中标候选人，公示期不得少于3</w:t>
      </w:r>
      <w:r>
        <w:rPr>
          <w:rFonts w:hint="eastAsia" w:ascii="Times New Roman" w:hAnsi="Times New Roman" w:eastAsiaTheme="minorEastAsia"/>
          <w:sz w:val="21"/>
          <w:szCs w:val="21"/>
          <w:highlight w:val="none"/>
          <w:shd w:val="clear" w:color="auto" w:fill="auto"/>
          <w:lang w:eastAsia="zh-CN"/>
        </w:rPr>
        <w:t>个工作</w:t>
      </w:r>
      <w:r>
        <w:rPr>
          <w:rFonts w:ascii="Times New Roman" w:hAnsi="Times New Roman" w:eastAsiaTheme="minorEastAsia"/>
          <w:sz w:val="21"/>
          <w:szCs w:val="21"/>
          <w:highlight w:val="none"/>
          <w:shd w:val="clear" w:color="auto" w:fill="auto"/>
          <w:lang w:eastAsia="zh-CN"/>
        </w:rPr>
        <w:t>日。</w:t>
      </w:r>
    </w:p>
    <w:p>
      <w:pPr>
        <w:pStyle w:val="168"/>
        <w:spacing w:before="0" w:after="0" w:line="360" w:lineRule="auto"/>
        <w:outlineLvl w:val="2"/>
        <w:rPr>
          <w:rFonts w:eastAsia="黑体"/>
          <w:b/>
          <w:sz w:val="28"/>
          <w:szCs w:val="28"/>
          <w:highlight w:val="none"/>
          <w:shd w:val="clear" w:color="auto" w:fill="auto"/>
        </w:rPr>
      </w:pPr>
      <w:bookmarkStart w:id="328" w:name="_Toc505281219"/>
      <w:bookmarkStart w:id="329" w:name="_Toc505001495"/>
      <w:bookmarkStart w:id="330" w:name="_Toc505439891"/>
      <w:r>
        <w:rPr>
          <w:rFonts w:eastAsia="黑体"/>
          <w:b/>
          <w:sz w:val="28"/>
          <w:szCs w:val="28"/>
          <w:highlight w:val="none"/>
          <w:shd w:val="clear" w:color="auto" w:fill="auto"/>
        </w:rPr>
        <w:t>7.2 评标结果异议</w:t>
      </w:r>
      <w:bookmarkEnd w:id="328"/>
      <w:bookmarkEnd w:id="329"/>
      <w:bookmarkEnd w:id="330"/>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投标人或者其他利</w:t>
      </w:r>
      <w:bookmarkStart w:id="331" w:name="_Toc361508618"/>
      <w:bookmarkStart w:id="332" w:name="_Toc30095"/>
      <w:bookmarkStart w:id="333" w:name="_Toc152045561"/>
      <w:bookmarkStart w:id="334" w:name="_Toc144974529"/>
      <w:bookmarkStart w:id="335" w:name="_Toc369531549"/>
      <w:bookmarkStart w:id="336" w:name="_Toc152042337"/>
      <w:bookmarkStart w:id="337" w:name="_Toc384308243"/>
      <w:bookmarkStart w:id="338" w:name="_Toc352691505"/>
      <w:bookmarkStart w:id="339" w:name="_Toc247527586"/>
      <w:bookmarkStart w:id="340" w:name="_Toc247513985"/>
      <w:bookmarkStart w:id="341" w:name="_Toc300834982"/>
      <w:r>
        <w:rPr>
          <w:rFonts w:ascii="Times New Roman" w:hAnsi="Times New Roman" w:eastAsiaTheme="minorEastAsia"/>
          <w:sz w:val="21"/>
          <w:szCs w:val="21"/>
          <w:highlight w:val="none"/>
          <w:shd w:val="clear" w:color="auto" w:fill="auto"/>
          <w:lang w:eastAsia="zh-CN"/>
        </w:rPr>
        <w:t>害关系人对评标结</w:t>
      </w:r>
      <w:bookmarkEnd w:id="331"/>
      <w:bookmarkEnd w:id="332"/>
      <w:bookmarkEnd w:id="333"/>
      <w:bookmarkEnd w:id="334"/>
      <w:bookmarkEnd w:id="335"/>
      <w:bookmarkEnd w:id="336"/>
      <w:bookmarkEnd w:id="337"/>
      <w:bookmarkEnd w:id="338"/>
      <w:bookmarkEnd w:id="339"/>
      <w:bookmarkEnd w:id="340"/>
      <w:bookmarkEnd w:id="341"/>
      <w:r>
        <w:rPr>
          <w:rFonts w:ascii="Times New Roman" w:hAnsi="Times New Roman" w:eastAsiaTheme="minorEastAsia"/>
          <w:sz w:val="21"/>
          <w:szCs w:val="21"/>
          <w:highlight w:val="none"/>
          <w:shd w:val="clear" w:color="auto" w:fill="auto"/>
          <w:lang w:eastAsia="zh-CN"/>
        </w:rPr>
        <w:t>果有异议的，应当在中标候选人公示期间提出。招标人将在收到异议之日起3日内作出答复；作出答复前，将暂停招标投标活动。</w:t>
      </w:r>
    </w:p>
    <w:p>
      <w:pPr>
        <w:pStyle w:val="168"/>
        <w:spacing w:before="0" w:after="0" w:line="360" w:lineRule="auto"/>
        <w:outlineLvl w:val="2"/>
        <w:rPr>
          <w:rFonts w:eastAsia="黑体"/>
          <w:b/>
          <w:sz w:val="28"/>
          <w:szCs w:val="28"/>
          <w:highlight w:val="none"/>
          <w:shd w:val="clear" w:color="auto" w:fill="auto"/>
        </w:rPr>
      </w:pPr>
      <w:bookmarkStart w:id="342" w:name="_Toc505001496"/>
      <w:bookmarkStart w:id="343" w:name="_Toc505439892"/>
      <w:bookmarkStart w:id="344" w:name="_Toc505281220"/>
      <w:r>
        <w:rPr>
          <w:rFonts w:eastAsia="黑体"/>
          <w:b/>
          <w:sz w:val="28"/>
          <w:szCs w:val="28"/>
          <w:highlight w:val="none"/>
          <w:shd w:val="clear" w:color="auto" w:fill="auto"/>
        </w:rPr>
        <w:t>7.3 中标候选人履约能力审查</w:t>
      </w:r>
      <w:bookmarkEnd w:id="342"/>
      <w:bookmarkEnd w:id="343"/>
      <w:bookmarkEnd w:id="344"/>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168"/>
        <w:spacing w:before="0" w:after="0" w:line="360" w:lineRule="auto"/>
        <w:outlineLvl w:val="2"/>
        <w:rPr>
          <w:rFonts w:eastAsia="黑体"/>
          <w:b/>
          <w:sz w:val="28"/>
          <w:szCs w:val="28"/>
          <w:highlight w:val="none"/>
          <w:shd w:val="clear" w:color="auto" w:fill="auto"/>
        </w:rPr>
      </w:pPr>
      <w:bookmarkStart w:id="345" w:name="_Toc505001497"/>
      <w:bookmarkStart w:id="346" w:name="_Toc505281221"/>
      <w:bookmarkStart w:id="347" w:name="_Toc505439893"/>
      <w:r>
        <w:rPr>
          <w:rFonts w:eastAsia="黑体"/>
          <w:b/>
          <w:sz w:val="28"/>
          <w:szCs w:val="28"/>
          <w:highlight w:val="none"/>
          <w:shd w:val="clear" w:color="auto" w:fill="auto"/>
        </w:rPr>
        <w:t>7.4 定标</w:t>
      </w:r>
      <w:bookmarkEnd w:id="345"/>
      <w:bookmarkEnd w:id="346"/>
      <w:bookmarkEnd w:id="347"/>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按照投标人须知前附表的规定，招标人或招标人授权的评标委员会依法确定中标人。</w:t>
      </w:r>
    </w:p>
    <w:p>
      <w:pPr>
        <w:pStyle w:val="168"/>
        <w:spacing w:before="0" w:after="0" w:line="360" w:lineRule="auto"/>
        <w:outlineLvl w:val="2"/>
        <w:rPr>
          <w:rFonts w:eastAsia="黑体"/>
          <w:b/>
          <w:sz w:val="28"/>
          <w:szCs w:val="28"/>
          <w:highlight w:val="none"/>
          <w:shd w:val="clear" w:color="auto" w:fill="auto"/>
        </w:rPr>
      </w:pPr>
      <w:bookmarkStart w:id="348" w:name="_Toc505281222"/>
      <w:bookmarkStart w:id="349" w:name="_Toc505439894"/>
      <w:bookmarkStart w:id="350" w:name="_Toc505001498"/>
      <w:r>
        <w:rPr>
          <w:rFonts w:eastAsia="黑体"/>
          <w:b/>
          <w:sz w:val="28"/>
          <w:szCs w:val="28"/>
          <w:highlight w:val="none"/>
          <w:shd w:val="clear" w:color="auto" w:fill="auto"/>
        </w:rPr>
        <w:t>7.5 中标通知</w:t>
      </w:r>
      <w:bookmarkEnd w:id="348"/>
      <w:bookmarkEnd w:id="349"/>
      <w:bookmarkEnd w:id="350"/>
    </w:p>
    <w:p>
      <w:pPr>
        <w:pStyle w:val="150"/>
        <w:spacing w:before="0" w:after="0" w:line="360" w:lineRule="auto"/>
        <w:ind w:firstLine="44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宋体"/>
          <w:highlight w:val="none"/>
          <w:shd w:val="clear" w:color="auto" w:fill="auto"/>
          <w:lang w:eastAsia="zh-CN"/>
        </w:rPr>
        <w:t>在本章第</w:t>
      </w:r>
      <w:r>
        <w:rPr>
          <w:rFonts w:ascii="Times New Roman" w:hAnsi="Times New Roman"/>
          <w:highlight w:val="none"/>
          <w:shd w:val="clear" w:color="auto" w:fill="auto"/>
          <w:lang w:eastAsia="zh-CN"/>
        </w:rPr>
        <w:t>3.3</w:t>
      </w:r>
      <w:r>
        <w:rPr>
          <w:rFonts w:ascii="Times New Roman" w:hAnsi="Times New Roman" w:eastAsia="宋体"/>
          <w:highlight w:val="none"/>
          <w:shd w:val="clear" w:color="auto" w:fill="auto"/>
          <w:lang w:eastAsia="zh-CN"/>
        </w:rPr>
        <w:t>款规定的投标有效期内，招标人以书面形式向中标人发出中标</w:t>
      </w:r>
      <w:bookmarkStart w:id="351" w:name="_Toc300834983"/>
      <w:bookmarkStart w:id="352" w:name="_Toc369531550"/>
      <w:bookmarkStart w:id="353" w:name="_Toc384308244"/>
      <w:bookmarkStart w:id="354" w:name="_Toc5668"/>
      <w:bookmarkStart w:id="355" w:name="_Toc352691506"/>
      <w:bookmarkStart w:id="356" w:name="_Toc361508619"/>
      <w:r>
        <w:rPr>
          <w:rFonts w:ascii="Times New Roman" w:hAnsi="Times New Roman" w:eastAsia="宋体"/>
          <w:highlight w:val="none"/>
          <w:shd w:val="clear" w:color="auto" w:fill="auto"/>
          <w:lang w:eastAsia="zh-CN"/>
        </w:rPr>
        <w:t>通知书，同时将中</w:t>
      </w:r>
      <w:bookmarkEnd w:id="351"/>
      <w:bookmarkEnd w:id="352"/>
      <w:bookmarkEnd w:id="353"/>
      <w:bookmarkEnd w:id="354"/>
      <w:bookmarkEnd w:id="355"/>
      <w:bookmarkEnd w:id="356"/>
      <w:r>
        <w:rPr>
          <w:rFonts w:ascii="Times New Roman" w:hAnsi="Times New Roman" w:eastAsia="宋体"/>
          <w:highlight w:val="none"/>
          <w:shd w:val="clear" w:color="auto" w:fill="auto"/>
          <w:lang w:eastAsia="zh-CN"/>
        </w:rPr>
        <w:t>标结果通知未中标的投标人。</w:t>
      </w:r>
    </w:p>
    <w:p>
      <w:pPr>
        <w:pStyle w:val="168"/>
        <w:spacing w:before="0" w:after="0" w:line="360" w:lineRule="auto"/>
        <w:outlineLvl w:val="2"/>
        <w:rPr>
          <w:rFonts w:eastAsia="黑体"/>
          <w:b/>
          <w:sz w:val="28"/>
          <w:szCs w:val="28"/>
          <w:highlight w:val="none"/>
          <w:shd w:val="clear" w:color="auto" w:fill="auto"/>
        </w:rPr>
      </w:pPr>
      <w:bookmarkStart w:id="357" w:name="_Toc505281224"/>
      <w:bookmarkStart w:id="358" w:name="_Toc505001500"/>
      <w:bookmarkStart w:id="359" w:name="_Toc505439896"/>
      <w:r>
        <w:rPr>
          <w:rFonts w:eastAsia="黑体"/>
          <w:b/>
          <w:sz w:val="28"/>
          <w:szCs w:val="28"/>
          <w:highlight w:val="none"/>
          <w:shd w:val="clear" w:color="auto" w:fill="auto"/>
        </w:rPr>
        <w:t>7.6 履约保证金</w:t>
      </w:r>
      <w:bookmarkEnd w:id="357"/>
      <w:bookmarkEnd w:id="358"/>
      <w:bookmarkEnd w:id="359"/>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7.6.2 中标人不能按本章第7.6.1项要求提交履约保证金的，视为放弃中标，其投标保证金不予退还，给招标人造成的损失超过投标保证金数额的，中标人还应当对超过部分予以赔偿。</w:t>
      </w:r>
    </w:p>
    <w:p>
      <w:pPr>
        <w:pStyle w:val="168"/>
        <w:spacing w:before="0" w:after="0" w:line="360" w:lineRule="auto"/>
        <w:outlineLvl w:val="2"/>
        <w:rPr>
          <w:rFonts w:eastAsia="黑体"/>
          <w:b/>
          <w:sz w:val="28"/>
          <w:szCs w:val="28"/>
          <w:highlight w:val="none"/>
          <w:shd w:val="clear" w:color="auto" w:fill="auto"/>
        </w:rPr>
      </w:pPr>
      <w:bookmarkStart w:id="360" w:name="_Toc505439897"/>
      <w:bookmarkStart w:id="361" w:name="_Toc505281225"/>
      <w:bookmarkStart w:id="362" w:name="_Toc505001501"/>
      <w:r>
        <w:rPr>
          <w:rFonts w:eastAsia="黑体"/>
          <w:b/>
          <w:sz w:val="28"/>
          <w:szCs w:val="28"/>
          <w:highlight w:val="none"/>
          <w:shd w:val="clear" w:color="auto" w:fill="auto"/>
        </w:rPr>
        <w:t>7.7 签订合同</w:t>
      </w:r>
      <w:bookmarkEnd w:id="360"/>
      <w:bookmarkEnd w:id="361"/>
      <w:bookmarkEnd w:id="362"/>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取消其中标资格，其投标保证金不予退还；给招标人造成的损失超过投标保证金数额的，中标人还应当对超过部分予以赔偿。</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7.7.2 发出中标通知书后，招标人无正当理由拒签合同，或者在签订合同时向中标人提出附加条件的，招标人向中标人退还投标保证金；给中标人造成损失的，还应当赔偿损失。</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7.7.3联合体中标的，联合体各方应当共同与招标人签订合同，就中标项目向招标人承担连带责任。</w:t>
      </w:r>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363" w:name="_Toc24067"/>
      <w:bookmarkStart w:id="364" w:name="_Toc361508627"/>
      <w:bookmarkStart w:id="365" w:name="_Toc384308252"/>
      <w:bookmarkStart w:id="366" w:name="_Toc508806377"/>
      <w:bookmarkStart w:id="367" w:name="_Toc505001502"/>
      <w:bookmarkStart w:id="368" w:name="_Toc505281226"/>
      <w:bookmarkStart w:id="369" w:name="_Toc60646640"/>
      <w:bookmarkStart w:id="370" w:name="_Toc505439898"/>
      <w:bookmarkStart w:id="371" w:name="_Toc532285467"/>
      <w:bookmarkStart w:id="372" w:name="_Toc532388777"/>
      <w:bookmarkStart w:id="373" w:name="_Toc300834991"/>
      <w:bookmarkStart w:id="374" w:name="_Toc144974536"/>
      <w:bookmarkStart w:id="375" w:name="_Toc247527593"/>
      <w:bookmarkStart w:id="376" w:name="_Toc152045568"/>
      <w:bookmarkStart w:id="377" w:name="_Toc152042344"/>
      <w:bookmarkStart w:id="378" w:name="_Toc247513992"/>
      <w:r>
        <w:rPr>
          <w:rFonts w:ascii="Times New Roman" w:hAnsi="Times New Roman" w:eastAsia="黑体" w:cs="Times New Roman"/>
          <w:b/>
          <w:color w:val="000000"/>
          <w:sz w:val="32"/>
          <w:highlight w:val="none"/>
          <w:shd w:val="clear" w:color="auto" w:fill="auto"/>
        </w:rPr>
        <w:t>8.</w:t>
      </w:r>
      <w:bookmarkEnd w:id="363"/>
      <w:bookmarkEnd w:id="364"/>
      <w:bookmarkEnd w:id="365"/>
      <w:r>
        <w:rPr>
          <w:rFonts w:ascii="Times New Roman" w:hAnsi="Times New Roman" w:eastAsia="黑体" w:cs="Times New Roman"/>
          <w:b/>
          <w:color w:val="000000"/>
          <w:sz w:val="32"/>
          <w:highlight w:val="none"/>
          <w:shd w:val="clear" w:color="auto" w:fill="auto"/>
        </w:rPr>
        <w:t>纪律和监督</w:t>
      </w:r>
      <w:bookmarkEnd w:id="366"/>
      <w:bookmarkEnd w:id="367"/>
      <w:bookmarkEnd w:id="368"/>
      <w:bookmarkEnd w:id="369"/>
      <w:bookmarkEnd w:id="370"/>
      <w:bookmarkEnd w:id="371"/>
      <w:bookmarkEnd w:id="372"/>
    </w:p>
    <w:p>
      <w:pPr>
        <w:pStyle w:val="168"/>
        <w:spacing w:before="0" w:after="0" w:line="360" w:lineRule="auto"/>
        <w:outlineLvl w:val="2"/>
        <w:rPr>
          <w:rFonts w:eastAsia="黑体"/>
          <w:b/>
          <w:sz w:val="28"/>
          <w:szCs w:val="28"/>
          <w:highlight w:val="none"/>
          <w:shd w:val="clear" w:color="auto" w:fill="auto"/>
        </w:rPr>
      </w:pPr>
      <w:bookmarkStart w:id="379" w:name="_Toc505001503"/>
      <w:bookmarkStart w:id="380" w:name="_Toc505439899"/>
      <w:bookmarkStart w:id="381" w:name="_Toc505281227"/>
      <w:r>
        <w:rPr>
          <w:rFonts w:eastAsia="黑体"/>
          <w:b/>
          <w:sz w:val="28"/>
          <w:szCs w:val="28"/>
          <w:highlight w:val="none"/>
          <w:shd w:val="clear" w:color="auto" w:fill="auto"/>
        </w:rPr>
        <w:t>8.1 对招标人的纪律要求</w:t>
      </w:r>
      <w:bookmarkEnd w:id="379"/>
      <w:bookmarkEnd w:id="380"/>
      <w:bookmarkEnd w:id="381"/>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招标人不得泄露招标投标活动中应当保密的情况和资料，不得与投标人串通损害国家利益、社会公共利益或者他人合法权益。</w:t>
      </w:r>
    </w:p>
    <w:p>
      <w:pPr>
        <w:pStyle w:val="168"/>
        <w:spacing w:before="0" w:after="0" w:line="360" w:lineRule="auto"/>
        <w:outlineLvl w:val="2"/>
        <w:rPr>
          <w:rFonts w:eastAsia="黑体"/>
          <w:b/>
          <w:sz w:val="28"/>
          <w:szCs w:val="28"/>
          <w:highlight w:val="none"/>
          <w:shd w:val="clear" w:color="auto" w:fill="auto"/>
        </w:rPr>
      </w:pPr>
      <w:bookmarkStart w:id="382" w:name="_Toc505439900"/>
      <w:bookmarkStart w:id="383" w:name="_Toc505281228"/>
      <w:bookmarkStart w:id="384" w:name="_Toc505001504"/>
      <w:r>
        <w:rPr>
          <w:rFonts w:eastAsia="黑体"/>
          <w:b/>
          <w:sz w:val="28"/>
          <w:szCs w:val="28"/>
          <w:highlight w:val="none"/>
          <w:shd w:val="clear" w:color="auto" w:fill="auto"/>
        </w:rPr>
        <w:t>8.2 对投标人的纪律要求</w:t>
      </w:r>
      <w:bookmarkEnd w:id="382"/>
      <w:bookmarkEnd w:id="383"/>
      <w:bookmarkEnd w:id="384"/>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68"/>
        <w:spacing w:before="0" w:after="0" w:line="360" w:lineRule="auto"/>
        <w:outlineLvl w:val="2"/>
        <w:rPr>
          <w:rFonts w:eastAsia="黑体"/>
          <w:b/>
          <w:sz w:val="28"/>
          <w:szCs w:val="28"/>
          <w:highlight w:val="none"/>
          <w:shd w:val="clear" w:color="auto" w:fill="auto"/>
        </w:rPr>
      </w:pPr>
      <w:bookmarkStart w:id="385" w:name="_Toc505001505"/>
      <w:bookmarkStart w:id="386" w:name="_Toc505281229"/>
      <w:bookmarkStart w:id="387" w:name="_Toc505439901"/>
      <w:r>
        <w:rPr>
          <w:rFonts w:eastAsia="黑体"/>
          <w:b/>
          <w:sz w:val="28"/>
          <w:szCs w:val="28"/>
          <w:highlight w:val="none"/>
          <w:shd w:val="clear" w:color="auto" w:fill="auto"/>
        </w:rPr>
        <w:t>8.3 对评标委员会成员的纪律要求</w:t>
      </w:r>
      <w:bookmarkEnd w:id="385"/>
      <w:bookmarkEnd w:id="386"/>
      <w:bookmarkEnd w:id="387"/>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评标委员会成员不得收受他人的财物或者其他好处，不得向他人透露对投标文件的评审</w:t>
      </w:r>
      <w:bookmarkStart w:id="388" w:name="_Toc384308253"/>
      <w:bookmarkStart w:id="389" w:name="_Toc13644"/>
      <w:bookmarkStart w:id="390" w:name="_Toc369531559"/>
      <w:bookmarkStart w:id="391" w:name="_Toc361508628"/>
      <w:bookmarkStart w:id="392" w:name="_Toc352691515"/>
      <w:r>
        <w:rPr>
          <w:rFonts w:ascii="Times New Roman" w:hAnsi="Times New Roman" w:eastAsiaTheme="minorEastAsia"/>
          <w:sz w:val="21"/>
          <w:szCs w:val="21"/>
          <w:highlight w:val="none"/>
          <w:shd w:val="clear" w:color="auto" w:fill="auto"/>
          <w:lang w:eastAsia="zh-CN"/>
        </w:rPr>
        <w:t>和比较、中标候选人</w:t>
      </w:r>
      <w:bookmarkEnd w:id="373"/>
      <w:bookmarkEnd w:id="374"/>
      <w:bookmarkEnd w:id="375"/>
      <w:bookmarkEnd w:id="376"/>
      <w:bookmarkEnd w:id="377"/>
      <w:bookmarkEnd w:id="378"/>
      <w:bookmarkEnd w:id="388"/>
      <w:bookmarkEnd w:id="389"/>
      <w:bookmarkEnd w:id="390"/>
      <w:bookmarkEnd w:id="391"/>
      <w:bookmarkEnd w:id="392"/>
      <w:r>
        <w:rPr>
          <w:rFonts w:ascii="Times New Roman" w:hAnsi="Times New Roman" w:eastAsiaTheme="minorEastAsia"/>
          <w:sz w:val="21"/>
          <w:szCs w:val="21"/>
          <w:highlight w:val="none"/>
          <w:shd w:val="clear" w:color="auto" w:fill="auto"/>
          <w:lang w:eastAsia="zh-CN"/>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168"/>
        <w:spacing w:before="0" w:after="0" w:line="360" w:lineRule="auto"/>
        <w:outlineLvl w:val="2"/>
        <w:rPr>
          <w:rFonts w:eastAsia="黑体"/>
          <w:b/>
          <w:sz w:val="28"/>
          <w:szCs w:val="28"/>
          <w:highlight w:val="none"/>
          <w:shd w:val="clear" w:color="auto" w:fill="auto"/>
        </w:rPr>
      </w:pPr>
      <w:bookmarkStart w:id="393" w:name="_Toc505001506"/>
      <w:bookmarkStart w:id="394" w:name="_Toc505439902"/>
      <w:bookmarkStart w:id="395" w:name="_Toc505281230"/>
      <w:r>
        <w:rPr>
          <w:rFonts w:eastAsia="黑体"/>
          <w:b/>
          <w:sz w:val="28"/>
          <w:szCs w:val="28"/>
          <w:highlight w:val="none"/>
          <w:shd w:val="clear" w:color="auto" w:fill="auto"/>
        </w:rPr>
        <w:t>8.4 对与评标活动有关的工作人员的纪律要求</w:t>
      </w:r>
      <w:bookmarkEnd w:id="393"/>
      <w:bookmarkEnd w:id="394"/>
      <w:bookmarkEnd w:id="395"/>
    </w:p>
    <w:p>
      <w:pPr>
        <w:pStyle w:val="150"/>
        <w:spacing w:before="0" w:after="0" w:line="360" w:lineRule="auto"/>
        <w:ind w:firstLine="420" w:firstLineChars="20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与评标活动有关的工作人员不得收受他人的财物或者其他好处，不得向他人透露对投标文件</w:t>
      </w:r>
      <w:bookmarkStart w:id="396" w:name="_Toc247527594"/>
      <w:bookmarkStart w:id="397" w:name="_Toc369531560"/>
      <w:bookmarkStart w:id="398" w:name="_Toc144974537"/>
      <w:bookmarkStart w:id="399" w:name="_Toc300834992"/>
      <w:bookmarkStart w:id="400" w:name="_Toc152042345"/>
      <w:bookmarkStart w:id="401" w:name="_Toc361508629"/>
      <w:bookmarkStart w:id="402" w:name="_Toc247513993"/>
      <w:bookmarkStart w:id="403" w:name="_Toc152045569"/>
      <w:bookmarkStart w:id="404" w:name="_Toc352691516"/>
      <w:bookmarkStart w:id="405" w:name="_Toc384308254"/>
      <w:bookmarkStart w:id="406" w:name="_Toc19429"/>
      <w:r>
        <w:rPr>
          <w:rFonts w:ascii="Times New Roman" w:hAnsi="Times New Roman" w:eastAsiaTheme="minorEastAsia"/>
          <w:sz w:val="21"/>
          <w:szCs w:val="21"/>
          <w:highlight w:val="none"/>
          <w:shd w:val="clear" w:color="auto" w:fill="auto"/>
          <w:lang w:eastAsia="zh-CN"/>
        </w:rPr>
        <w:t>的评审和比较、中标</w:t>
      </w:r>
      <w:bookmarkEnd w:id="396"/>
      <w:bookmarkEnd w:id="397"/>
      <w:bookmarkEnd w:id="398"/>
      <w:bookmarkEnd w:id="399"/>
      <w:bookmarkEnd w:id="400"/>
      <w:bookmarkEnd w:id="401"/>
      <w:bookmarkEnd w:id="402"/>
      <w:bookmarkEnd w:id="403"/>
      <w:bookmarkEnd w:id="404"/>
      <w:bookmarkEnd w:id="405"/>
      <w:bookmarkEnd w:id="406"/>
      <w:r>
        <w:rPr>
          <w:rFonts w:ascii="Times New Roman" w:hAnsi="Times New Roman" w:eastAsiaTheme="minorEastAsia"/>
          <w:sz w:val="21"/>
          <w:szCs w:val="21"/>
          <w:highlight w:val="none"/>
          <w:shd w:val="clear" w:color="auto" w:fill="auto"/>
          <w:lang w:eastAsia="zh-CN"/>
        </w:rPr>
        <w:t>候选人的推荐情况以及评标有关的其他情况。在评标活动中，与评标活动有关的工作人员不得擅离职守，影响评标程序正常进行。</w:t>
      </w:r>
    </w:p>
    <w:p>
      <w:pPr>
        <w:pStyle w:val="168"/>
        <w:spacing w:before="0" w:after="0" w:line="360" w:lineRule="auto"/>
        <w:outlineLvl w:val="2"/>
        <w:rPr>
          <w:rFonts w:eastAsia="黑体"/>
          <w:b/>
          <w:sz w:val="28"/>
          <w:szCs w:val="28"/>
          <w:highlight w:val="none"/>
          <w:shd w:val="clear" w:color="auto" w:fill="auto"/>
        </w:rPr>
      </w:pPr>
      <w:bookmarkStart w:id="407" w:name="_Toc505439903"/>
      <w:bookmarkStart w:id="408" w:name="_Toc505281231"/>
      <w:bookmarkStart w:id="409" w:name="_Toc505001507"/>
      <w:r>
        <w:rPr>
          <w:rFonts w:eastAsia="黑体"/>
          <w:b/>
          <w:sz w:val="28"/>
          <w:szCs w:val="28"/>
          <w:highlight w:val="none"/>
          <w:shd w:val="clear" w:color="auto" w:fill="auto"/>
        </w:rPr>
        <w:t>8.5 投诉</w:t>
      </w:r>
      <w:bookmarkEnd w:id="407"/>
      <w:bookmarkEnd w:id="408"/>
      <w:bookmarkEnd w:id="409"/>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8.5.1投标人或者其他利害关系人认为招标投标活动不符合法律、行政法规规定的，可以自知道或者应当知道之日起10日内向有关行政监督部门投诉。投诉应当有明确的请求和必要的证明材料。</w:t>
      </w:r>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8.5.2投标人或者其他利害关系人对招标文件、开标和评标结果提出投诉的，应当按照投标人须知第2.4款、第5.3款和第7.2款的规定先向招标人提出异议。异议答复期间</w:t>
      </w:r>
      <w:bookmarkStart w:id="410" w:name="_Toc352691517"/>
      <w:bookmarkStart w:id="411" w:name="_Toc12776"/>
      <w:bookmarkStart w:id="412" w:name="_Toc152045570"/>
      <w:bookmarkStart w:id="413" w:name="_Toc384308255"/>
      <w:bookmarkStart w:id="414" w:name="_Toc300834993"/>
      <w:bookmarkStart w:id="415" w:name="_Toc247513994"/>
      <w:bookmarkStart w:id="416" w:name="_Toc369531561"/>
      <w:bookmarkStart w:id="417" w:name="_Toc247527595"/>
      <w:bookmarkStart w:id="418" w:name="_Toc152042346"/>
      <w:bookmarkStart w:id="419" w:name="_Toc361508630"/>
      <w:bookmarkStart w:id="420" w:name="_Toc144974538"/>
      <w:r>
        <w:rPr>
          <w:rFonts w:ascii="Times New Roman" w:hAnsi="Times New Roman" w:eastAsiaTheme="minorEastAsia"/>
          <w:sz w:val="21"/>
          <w:szCs w:val="21"/>
          <w:highlight w:val="none"/>
          <w:shd w:val="clear" w:color="auto" w:fill="auto"/>
          <w:lang w:eastAsia="zh-CN"/>
        </w:rPr>
        <w:t>不计算在第8.5.</w:t>
      </w:r>
      <w:bookmarkEnd w:id="410"/>
      <w:bookmarkEnd w:id="411"/>
      <w:bookmarkEnd w:id="412"/>
      <w:bookmarkEnd w:id="413"/>
      <w:bookmarkEnd w:id="414"/>
      <w:bookmarkEnd w:id="415"/>
      <w:bookmarkEnd w:id="416"/>
      <w:bookmarkEnd w:id="417"/>
      <w:bookmarkEnd w:id="418"/>
      <w:bookmarkEnd w:id="419"/>
      <w:bookmarkEnd w:id="420"/>
      <w:r>
        <w:rPr>
          <w:rFonts w:ascii="Times New Roman" w:hAnsi="Times New Roman" w:eastAsiaTheme="minorEastAsia"/>
          <w:sz w:val="21"/>
          <w:szCs w:val="21"/>
          <w:highlight w:val="none"/>
          <w:shd w:val="clear" w:color="auto" w:fill="auto"/>
          <w:lang w:eastAsia="zh-CN"/>
        </w:rPr>
        <w:t>1项规定的期限内。</w:t>
      </w:r>
      <w:bookmarkStart w:id="421" w:name="_Toc505439904"/>
      <w:bookmarkStart w:id="422" w:name="_Toc508806378"/>
      <w:bookmarkStart w:id="423" w:name="_Toc532285468"/>
      <w:bookmarkStart w:id="424" w:name="_Toc477134992"/>
      <w:bookmarkStart w:id="425" w:name="_Toc505281232"/>
      <w:bookmarkStart w:id="426" w:name="_Toc505001508"/>
      <w:bookmarkStart w:id="427" w:name="_Toc532388778"/>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428" w:name="_Toc60646641"/>
      <w:r>
        <w:rPr>
          <w:rFonts w:ascii="Times New Roman" w:hAnsi="Times New Roman" w:eastAsia="黑体" w:cs="Times New Roman"/>
          <w:b/>
          <w:color w:val="000000"/>
          <w:sz w:val="32"/>
          <w:highlight w:val="none"/>
          <w:shd w:val="clear" w:color="auto" w:fill="auto"/>
        </w:rPr>
        <w:t>9.是否采用电子招标投标</w:t>
      </w:r>
      <w:bookmarkEnd w:id="421"/>
      <w:bookmarkEnd w:id="422"/>
      <w:bookmarkEnd w:id="423"/>
      <w:bookmarkEnd w:id="424"/>
      <w:bookmarkEnd w:id="425"/>
      <w:bookmarkEnd w:id="426"/>
      <w:bookmarkEnd w:id="427"/>
      <w:bookmarkEnd w:id="428"/>
    </w:p>
    <w:p>
      <w:pPr>
        <w:pStyle w:val="150"/>
        <w:spacing w:before="0" w:after="0" w:line="360" w:lineRule="auto"/>
        <w:ind w:firstLine="420" w:firstLineChars="200"/>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本招标项目是否采用电子招标投标方式，见投标人须知前附表。</w:t>
      </w:r>
      <w:bookmarkStart w:id="429" w:name="_Toc505281233"/>
      <w:bookmarkStart w:id="430" w:name="_Toc532388779"/>
      <w:bookmarkStart w:id="431" w:name="_Toc505001509"/>
      <w:bookmarkStart w:id="432" w:name="_Toc505439905"/>
      <w:bookmarkStart w:id="433" w:name="_Toc532285469"/>
      <w:bookmarkStart w:id="434" w:name="_Toc508806379"/>
    </w:p>
    <w:p>
      <w:pPr>
        <w:widowControl/>
        <w:spacing w:beforeLines="50" w:afterLines="50" w:line="360" w:lineRule="auto"/>
        <w:outlineLvl w:val="1"/>
        <w:rPr>
          <w:rFonts w:ascii="Times New Roman" w:hAnsi="Times New Roman" w:eastAsia="黑体" w:cs="Times New Roman"/>
          <w:b/>
          <w:color w:val="000000"/>
          <w:sz w:val="32"/>
          <w:highlight w:val="none"/>
          <w:shd w:val="clear" w:color="auto" w:fill="auto"/>
        </w:rPr>
      </w:pPr>
      <w:bookmarkStart w:id="435" w:name="_Toc60646642"/>
      <w:r>
        <w:rPr>
          <w:rFonts w:ascii="Times New Roman" w:hAnsi="Times New Roman" w:eastAsia="黑体" w:cs="Times New Roman"/>
          <w:b/>
          <w:color w:val="000000"/>
          <w:sz w:val="32"/>
          <w:highlight w:val="none"/>
          <w:shd w:val="clear" w:color="auto" w:fill="auto"/>
        </w:rPr>
        <w:t>10.需要补充的其他内容</w:t>
      </w:r>
      <w:bookmarkEnd w:id="429"/>
      <w:bookmarkEnd w:id="430"/>
      <w:bookmarkEnd w:id="431"/>
      <w:bookmarkEnd w:id="432"/>
      <w:bookmarkEnd w:id="433"/>
      <w:bookmarkEnd w:id="434"/>
      <w:bookmarkEnd w:id="435"/>
    </w:p>
    <w:p>
      <w:pPr>
        <w:spacing w:before="0" w:after="0" w:line="360" w:lineRule="auto"/>
        <w:ind w:firstLine="315" w:firstLineChars="15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需要补充的其他内容：见投标人须知前附表。</w:t>
      </w:r>
    </w:p>
    <w:p>
      <w:pPr>
        <w:widowControl/>
        <w:rPr>
          <w:rFonts w:ascii="Times New Roman" w:hAnsi="Times New Roman" w:cs="Times New Roman"/>
          <w:b/>
          <w:sz w:val="44"/>
          <w:szCs w:val="44"/>
          <w:highlight w:val="none"/>
          <w:shd w:val="clear" w:color="auto" w:fill="auto"/>
        </w:rPr>
      </w:pPr>
      <w:bookmarkStart w:id="436" w:name="_Toc532285470"/>
      <w:bookmarkStart w:id="437" w:name="_Toc532388780"/>
      <w:bookmarkStart w:id="438" w:name="_Toc508806380"/>
      <w:bookmarkStart w:id="439" w:name="_Toc47415947"/>
      <w:bookmarkStart w:id="440" w:name="_Toc499646498"/>
      <w:bookmarkStart w:id="441" w:name="_Toc47416201"/>
      <w:bookmarkStart w:id="442" w:name="_Toc49019240"/>
      <w:r>
        <w:rPr>
          <w:rFonts w:ascii="Times New Roman" w:hAnsi="Times New Roman" w:cs="Times New Roman"/>
          <w:b/>
          <w:sz w:val="44"/>
          <w:szCs w:val="44"/>
          <w:highlight w:val="none"/>
          <w:shd w:val="clear" w:color="auto" w:fill="auto"/>
        </w:rPr>
        <w:br w:type="page"/>
      </w:r>
    </w:p>
    <w:p>
      <w:pPr>
        <w:rPr>
          <w:rFonts w:ascii="Times New Roman" w:hAnsi="Times New Roman" w:cs="Times New Roman"/>
          <w:b/>
          <w:sz w:val="44"/>
          <w:szCs w:val="44"/>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bookmarkStart w:id="443" w:name="_Toc60646643"/>
      <w:r>
        <w:rPr>
          <w:rFonts w:ascii="Times New Roman" w:hAnsi="Times New Roman" w:eastAsia="黑体" w:cs="Times New Roman"/>
          <w:b/>
          <w:sz w:val="44"/>
          <w:szCs w:val="44"/>
          <w:highlight w:val="none"/>
          <w:shd w:val="clear" w:color="auto" w:fill="auto"/>
        </w:rPr>
        <w:t>第三章 评标办法</w:t>
      </w:r>
      <w:bookmarkEnd w:id="436"/>
      <w:bookmarkEnd w:id="437"/>
      <w:bookmarkEnd w:id="438"/>
      <w:bookmarkEnd w:id="443"/>
    </w:p>
    <w:bookmarkEnd w:id="439"/>
    <w:bookmarkEnd w:id="440"/>
    <w:bookmarkEnd w:id="441"/>
    <w:bookmarkEnd w:id="442"/>
    <w:p>
      <w:pPr>
        <w:pStyle w:val="86"/>
        <w:adjustRightInd w:val="0"/>
        <w:snapToGrid w:val="0"/>
        <w:spacing w:afterLines="0" w:line="240" w:lineRule="auto"/>
        <w:ind w:firstLine="0" w:firstLineChars="0"/>
        <w:jc w:val="center"/>
        <w:outlineLvl w:val="2"/>
        <w:rPr>
          <w:rFonts w:ascii="Times New Roman" w:hAnsi="Times New Roman" w:cs="Times New Roman"/>
          <w:sz w:val="21"/>
          <w:highlight w:val="none"/>
          <w:shd w:val="clear" w:color="auto" w:fill="auto"/>
        </w:rPr>
      </w:pPr>
      <w:bookmarkStart w:id="444" w:name="_Toc499646499"/>
      <w:bookmarkStart w:id="445" w:name="_Toc508806381"/>
      <w:bookmarkStart w:id="446" w:name="_Toc532285471"/>
    </w:p>
    <w:p>
      <w:pPr>
        <w:pStyle w:val="107"/>
        <w:spacing w:before="0" w:after="0"/>
        <w:jc w:val="center"/>
        <w:outlineLvl w:val="2"/>
        <w:rPr>
          <w:rFonts w:ascii="Times New Roman" w:hAnsi="Times New Roman" w:eastAsia="黑体"/>
          <w:b/>
          <w:spacing w:val="1"/>
          <w:sz w:val="32"/>
          <w:szCs w:val="32"/>
          <w:highlight w:val="none"/>
          <w:shd w:val="clear" w:color="auto" w:fill="auto"/>
          <w:lang w:eastAsia="zh-CN"/>
        </w:rPr>
      </w:pPr>
      <w:bookmarkStart w:id="447" w:name="_Toc532388781"/>
      <w:r>
        <w:rPr>
          <w:rFonts w:ascii="Times New Roman" w:hAnsi="Times New Roman" w:eastAsia="黑体"/>
          <w:b/>
          <w:spacing w:val="1"/>
          <w:sz w:val="32"/>
          <w:szCs w:val="32"/>
          <w:highlight w:val="none"/>
          <w:shd w:val="clear" w:color="auto" w:fill="auto"/>
          <w:lang w:eastAsia="zh-CN"/>
        </w:rPr>
        <w:t>评标办法前附表</w:t>
      </w:r>
      <w:bookmarkEnd w:id="444"/>
      <w:bookmarkEnd w:id="445"/>
      <w:bookmarkEnd w:id="446"/>
      <w:bookmarkEnd w:id="447"/>
    </w:p>
    <w:tbl>
      <w:tblPr>
        <w:tblStyle w:val="4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1089"/>
        <w:gridCol w:w="7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16" w:type="pct"/>
            <w:vAlign w:val="center"/>
          </w:tcPr>
          <w:p>
            <w:pPr>
              <w:spacing w:before="0" w:after="0"/>
              <w:jc w:val="center"/>
              <w:rPr>
                <w:rFonts w:ascii="Times New Roman" w:hAnsi="Times New Roman" w:eastAsia="宋体" w:cs="Times New Roman"/>
                <w:b/>
                <w:szCs w:val="21"/>
                <w:highlight w:val="none"/>
                <w:shd w:val="clear" w:color="auto" w:fill="auto"/>
              </w:rPr>
            </w:pPr>
            <w:r>
              <w:rPr>
                <w:rFonts w:ascii="Times New Roman" w:hAnsi="Times New Roman" w:eastAsia="宋体" w:cs="Times New Roman"/>
                <w:b/>
                <w:szCs w:val="21"/>
                <w:highlight w:val="none"/>
                <w:shd w:val="clear" w:color="auto" w:fill="auto"/>
              </w:rPr>
              <w:t>条款号</w:t>
            </w:r>
          </w:p>
        </w:tc>
        <w:tc>
          <w:tcPr>
            <w:tcW w:w="587" w:type="pct"/>
            <w:vAlign w:val="center"/>
          </w:tcPr>
          <w:p>
            <w:pPr>
              <w:spacing w:before="0" w:after="0"/>
              <w:jc w:val="center"/>
              <w:rPr>
                <w:rFonts w:ascii="Times New Roman" w:hAnsi="Times New Roman" w:eastAsia="宋体" w:cs="Times New Roman"/>
                <w:b/>
                <w:szCs w:val="21"/>
                <w:highlight w:val="none"/>
                <w:shd w:val="clear" w:color="auto" w:fill="auto"/>
              </w:rPr>
            </w:pPr>
            <w:r>
              <w:rPr>
                <w:rFonts w:ascii="Times New Roman" w:hAnsi="Times New Roman" w:eastAsia="宋体" w:cs="Times New Roman"/>
                <w:b/>
                <w:szCs w:val="21"/>
                <w:highlight w:val="none"/>
                <w:shd w:val="clear" w:color="auto" w:fill="auto"/>
              </w:rPr>
              <w:t>评审因素</w:t>
            </w:r>
          </w:p>
        </w:tc>
        <w:tc>
          <w:tcPr>
            <w:tcW w:w="3897" w:type="pct"/>
            <w:vAlign w:val="center"/>
          </w:tcPr>
          <w:p>
            <w:pPr>
              <w:spacing w:before="0" w:after="0"/>
              <w:jc w:val="center"/>
              <w:rPr>
                <w:rFonts w:ascii="Times New Roman" w:hAnsi="Times New Roman" w:eastAsia="宋体" w:cs="Times New Roman"/>
                <w:b/>
                <w:szCs w:val="21"/>
                <w:highlight w:val="none"/>
                <w:shd w:val="clear" w:color="auto" w:fill="auto"/>
              </w:rPr>
            </w:pPr>
            <w:r>
              <w:rPr>
                <w:rFonts w:ascii="Times New Roman" w:hAnsi="Times New Roman" w:eastAsia="宋体" w:cs="Times New Roman"/>
                <w:b/>
                <w:szCs w:val="21"/>
                <w:highlight w:val="none"/>
                <w:shd w:val="clear" w:color="auto" w:fil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16" w:type="pct"/>
            <w:vAlign w:val="center"/>
          </w:tcPr>
          <w:p>
            <w:pPr>
              <w:spacing w:before="0" w:after="0"/>
              <w:jc w:val="center"/>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2.1</w:t>
            </w:r>
          </w:p>
        </w:tc>
        <w:tc>
          <w:tcPr>
            <w:tcW w:w="587" w:type="pct"/>
            <w:vAlign w:val="center"/>
          </w:tcPr>
          <w:p>
            <w:pPr>
              <w:spacing w:before="0" w:after="0"/>
              <w:jc w:val="center"/>
              <w:rPr>
                <w:rFonts w:ascii="Times New Roman" w:hAnsi="Times New Roman" w:eastAsia="宋体" w:cs="Times New Roman"/>
                <w:b/>
                <w:szCs w:val="21"/>
                <w:highlight w:val="none"/>
                <w:shd w:val="clear" w:color="auto" w:fill="auto"/>
              </w:rPr>
            </w:pPr>
            <w:r>
              <w:rPr>
                <w:rFonts w:ascii="Times New Roman" w:hAnsi="Times New Roman" w:eastAsia="宋体" w:cs="Times New Roman"/>
                <w:szCs w:val="21"/>
                <w:highlight w:val="none"/>
                <w:shd w:val="clear" w:color="auto" w:fill="auto"/>
              </w:rPr>
              <w:t>初步评审（形式评审标准、资格评审标准、响应性评审标准）</w:t>
            </w:r>
          </w:p>
        </w:tc>
        <w:tc>
          <w:tcPr>
            <w:tcW w:w="3897" w:type="pct"/>
            <w:vAlign w:val="center"/>
          </w:tcPr>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（1）投标人资格条件符合第二章“投标人须知”第1.4项规定的；</w:t>
            </w:r>
          </w:p>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（2）投标保证金符合第二章“投标人须知”第3.4.1项规定的；</w:t>
            </w:r>
          </w:p>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（3）同一投标人未提交两个以上不同的投标文件或者投标报价，但招标文件要求提交备选投标的除外；</w:t>
            </w:r>
          </w:p>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（4）投标文件满足招标文件实质性要求和条件的；</w:t>
            </w:r>
          </w:p>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（5）投标人投标报价未超出最高投标限价（若招标文件未规定最高投标限价，则本条不适用）；</w:t>
            </w:r>
          </w:p>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（6）不同投标人的投标文件未从同一IP地址上传的；</w:t>
            </w:r>
          </w:p>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（7）无国家招标投标法及实施条例规定的其它否决投标情形。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16" w:type="pct"/>
            <w:vAlign w:val="center"/>
          </w:tcPr>
          <w:p>
            <w:pPr>
              <w:spacing w:before="0" w:after="0"/>
              <w:jc w:val="center"/>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2.2.1</w:t>
            </w:r>
          </w:p>
        </w:tc>
        <w:tc>
          <w:tcPr>
            <w:tcW w:w="587" w:type="pct"/>
            <w:vAlign w:val="center"/>
          </w:tcPr>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分值构成</w:t>
            </w:r>
          </w:p>
          <w:p>
            <w:pPr>
              <w:spacing w:before="0" w:after="0"/>
              <w:jc w:val="center"/>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(总分 100 分)</w:t>
            </w:r>
          </w:p>
        </w:tc>
        <w:tc>
          <w:tcPr>
            <w:tcW w:w="3897" w:type="pct"/>
            <w:vAlign w:val="center"/>
          </w:tcPr>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本款修改如下：</w:t>
            </w:r>
          </w:p>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（1）商务部分：</w:t>
            </w:r>
            <w:r>
              <w:rPr>
                <w:rFonts w:hint="eastAsia" w:ascii="Times New Roman" w:hAnsi="Times New Roman" w:eastAsia="宋体" w:cs="Times New Roman"/>
                <w:szCs w:val="21"/>
                <w:highlight w:val="none"/>
                <w:shd w:val="clear" w:color="auto" w:fill="auto"/>
              </w:rPr>
              <w:t>55</w:t>
            </w:r>
            <w:r>
              <w:rPr>
                <w:rFonts w:ascii="Times New Roman" w:hAnsi="Times New Roman" w:eastAsia="宋体" w:cs="Times New Roman"/>
                <w:szCs w:val="21"/>
                <w:highlight w:val="none"/>
                <w:shd w:val="clear" w:color="auto" w:fill="auto"/>
              </w:rPr>
              <w:t>分。</w:t>
            </w:r>
          </w:p>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（2）技术部分：</w:t>
            </w:r>
            <w:r>
              <w:rPr>
                <w:rFonts w:hint="eastAsia" w:ascii="Times New Roman" w:hAnsi="Times New Roman" w:eastAsia="宋体" w:cs="Times New Roman"/>
                <w:szCs w:val="21"/>
                <w:highlight w:val="none"/>
                <w:shd w:val="clear" w:color="auto" w:fill="auto"/>
              </w:rPr>
              <w:t>45</w:t>
            </w:r>
            <w:r>
              <w:rPr>
                <w:rFonts w:ascii="Times New Roman" w:hAnsi="Times New Roman" w:eastAsia="宋体" w:cs="Times New Roman"/>
                <w:szCs w:val="21"/>
                <w:highlight w:val="none"/>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16" w:type="pct"/>
            <w:vAlign w:val="center"/>
          </w:tcPr>
          <w:p>
            <w:pPr>
              <w:spacing w:before="0" w:after="0"/>
              <w:jc w:val="center"/>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2.2.2</w:t>
            </w:r>
          </w:p>
        </w:tc>
        <w:tc>
          <w:tcPr>
            <w:tcW w:w="587" w:type="pct"/>
            <w:vAlign w:val="center"/>
          </w:tcPr>
          <w:p>
            <w:pPr>
              <w:spacing w:before="0" w:after="0"/>
              <w:jc w:val="left"/>
              <w:rPr>
                <w:rFonts w:ascii="Times New Roman" w:hAnsi="Times New Roman" w:eastAsia="宋体" w:cs="Times New Roman"/>
                <w:szCs w:val="21"/>
                <w:highlight w:val="none"/>
                <w:shd w:val="clear" w:color="auto" w:fill="auto"/>
              </w:rPr>
            </w:pPr>
            <w:r>
              <w:rPr>
                <w:rFonts w:hint="eastAsia" w:ascii="Times New Roman" w:hAnsi="Times New Roman" w:eastAsia="宋体" w:cs="Times New Roman"/>
                <w:szCs w:val="21"/>
                <w:highlight w:val="none"/>
                <w:shd w:val="clear" w:color="auto" w:fill="auto"/>
              </w:rPr>
              <w:t>评分标准</w:t>
            </w:r>
          </w:p>
        </w:tc>
        <w:tc>
          <w:tcPr>
            <w:tcW w:w="3897" w:type="pct"/>
            <w:vAlign w:val="center"/>
          </w:tcPr>
          <w:p>
            <w:pPr>
              <w:spacing w:before="0" w:after="0"/>
              <w:rPr>
                <w:rFonts w:ascii="Times New Roman" w:hAnsi="Times New Roman" w:eastAsia="宋体"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16" w:type="pct"/>
            <w:vAlign w:val="center"/>
          </w:tcPr>
          <w:p>
            <w:pPr>
              <w:spacing w:before="0" w:after="0"/>
              <w:jc w:val="center"/>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2.2.</w:t>
            </w:r>
            <w:r>
              <w:rPr>
                <w:rFonts w:hint="eastAsia" w:ascii="Times New Roman" w:hAnsi="Times New Roman" w:eastAsia="宋体" w:cs="Times New Roman"/>
                <w:szCs w:val="21"/>
                <w:highlight w:val="none"/>
                <w:shd w:val="clear" w:color="auto" w:fill="auto"/>
              </w:rPr>
              <w:t>2（1）</w:t>
            </w:r>
          </w:p>
        </w:tc>
        <w:tc>
          <w:tcPr>
            <w:tcW w:w="587" w:type="pct"/>
            <w:vAlign w:val="center"/>
          </w:tcPr>
          <w:p>
            <w:pPr>
              <w:spacing w:before="0" w:after="0"/>
              <w:jc w:val="left"/>
              <w:rPr>
                <w:rFonts w:ascii="Times New Roman" w:hAnsi="Times New Roman" w:eastAsia="宋体" w:cs="Times New Roman"/>
                <w:szCs w:val="21"/>
                <w:highlight w:val="none"/>
                <w:shd w:val="clear" w:color="auto" w:fill="auto"/>
              </w:rPr>
            </w:pPr>
            <w:r>
              <w:rPr>
                <w:rFonts w:hint="eastAsia" w:ascii="Times New Roman" w:hAnsi="Times New Roman" w:eastAsia="宋体" w:cs="Times New Roman"/>
                <w:szCs w:val="21"/>
                <w:highlight w:val="none"/>
                <w:shd w:val="clear" w:color="auto" w:fill="auto"/>
              </w:rPr>
              <w:t>商务部分评分标准</w:t>
            </w:r>
          </w:p>
        </w:tc>
        <w:tc>
          <w:tcPr>
            <w:tcW w:w="3897" w:type="pct"/>
            <w:vAlign w:val="center"/>
          </w:tcPr>
          <w:p>
            <w:pPr>
              <w:spacing w:before="0" w:after="0"/>
              <w:jc w:val="left"/>
              <w:rPr>
                <w:rFonts w:ascii="Times New Roman" w:hAnsi="Times New Roman" w:eastAsia="宋体" w:cs="Times New Roman"/>
                <w:b/>
                <w:szCs w:val="21"/>
                <w:highlight w:val="none"/>
                <w:shd w:val="clear" w:color="auto" w:fill="auto"/>
              </w:rPr>
            </w:pPr>
            <w:r>
              <w:rPr>
                <w:rFonts w:hint="eastAsia" w:ascii="Times New Roman" w:hAnsi="Times New Roman" w:eastAsia="宋体" w:cs="Times New Roman"/>
                <w:szCs w:val="21"/>
                <w:highlight w:val="none"/>
                <w:shd w:val="clear" w:color="auto" w:fill="auto"/>
              </w:rPr>
              <w:t>详见</w:t>
            </w:r>
            <w:r>
              <w:rPr>
                <w:rFonts w:ascii="Times New Roman" w:hAnsi="Times New Roman" w:eastAsia="宋体" w:cs="Times New Roman"/>
                <w:szCs w:val="21"/>
                <w:highlight w:val="none"/>
                <w:shd w:val="clear" w:color="auto" w:fill="auto"/>
              </w:rPr>
              <w:t>附件</w:t>
            </w:r>
            <w:r>
              <w:rPr>
                <w:rFonts w:hint="eastAsia" w:ascii="Times New Roman" w:hAnsi="Times New Roman" w:eastAsia="宋体" w:cs="Times New Roman"/>
                <w:szCs w:val="21"/>
                <w:highlight w:val="none"/>
                <w:shd w:val="clear" w:color="auto" w:fill="auto"/>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16" w:type="pct"/>
            <w:vAlign w:val="center"/>
          </w:tcPr>
          <w:p>
            <w:pPr>
              <w:spacing w:before="0" w:after="0"/>
              <w:jc w:val="center"/>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2.2.</w:t>
            </w:r>
            <w:r>
              <w:rPr>
                <w:rFonts w:hint="eastAsia" w:ascii="Times New Roman" w:hAnsi="Times New Roman" w:eastAsia="宋体" w:cs="Times New Roman"/>
                <w:szCs w:val="21"/>
                <w:highlight w:val="none"/>
                <w:shd w:val="clear" w:color="auto" w:fill="auto"/>
              </w:rPr>
              <w:t>2</w:t>
            </w:r>
            <w:r>
              <w:rPr>
                <w:rFonts w:ascii="Times New Roman" w:hAnsi="Times New Roman" w:eastAsia="宋体" w:cs="Times New Roman"/>
                <w:szCs w:val="21"/>
                <w:highlight w:val="none"/>
                <w:shd w:val="clear" w:color="auto" w:fill="auto"/>
              </w:rPr>
              <w:t>（</w:t>
            </w:r>
            <w:r>
              <w:rPr>
                <w:rFonts w:hint="eastAsia" w:ascii="Times New Roman" w:hAnsi="Times New Roman" w:eastAsia="宋体" w:cs="Times New Roman"/>
                <w:szCs w:val="21"/>
                <w:highlight w:val="none"/>
                <w:shd w:val="clear" w:color="auto" w:fill="auto"/>
              </w:rPr>
              <w:t>2</w:t>
            </w:r>
            <w:r>
              <w:rPr>
                <w:rFonts w:ascii="Times New Roman" w:hAnsi="Times New Roman" w:eastAsia="宋体" w:cs="Times New Roman"/>
                <w:szCs w:val="21"/>
                <w:highlight w:val="none"/>
                <w:shd w:val="clear" w:color="auto" w:fill="auto"/>
              </w:rPr>
              <w:t>）</w:t>
            </w:r>
          </w:p>
        </w:tc>
        <w:tc>
          <w:tcPr>
            <w:tcW w:w="587" w:type="pct"/>
            <w:vAlign w:val="center"/>
          </w:tcPr>
          <w:p>
            <w:pPr>
              <w:spacing w:before="0" w:after="0"/>
              <w:jc w:val="left"/>
              <w:rPr>
                <w:rFonts w:ascii="Times New Roman" w:hAnsi="Times New Roman" w:eastAsia="宋体" w:cs="Times New Roman"/>
                <w:szCs w:val="21"/>
                <w:highlight w:val="none"/>
                <w:shd w:val="clear" w:color="auto" w:fill="auto"/>
              </w:rPr>
            </w:pPr>
            <w:r>
              <w:rPr>
                <w:rFonts w:ascii="Times New Roman" w:hAnsi="Times New Roman" w:eastAsia="宋体" w:cs="Times New Roman"/>
                <w:szCs w:val="21"/>
                <w:highlight w:val="none"/>
                <w:shd w:val="clear" w:color="auto" w:fill="auto"/>
              </w:rPr>
              <w:t>技术</w:t>
            </w:r>
            <w:r>
              <w:rPr>
                <w:rFonts w:hint="eastAsia" w:ascii="Times New Roman" w:hAnsi="Times New Roman" w:eastAsia="宋体" w:cs="Times New Roman"/>
                <w:szCs w:val="21"/>
                <w:highlight w:val="none"/>
                <w:shd w:val="clear" w:color="auto" w:fill="auto"/>
              </w:rPr>
              <w:t>部分</w:t>
            </w:r>
            <w:r>
              <w:rPr>
                <w:rFonts w:ascii="Times New Roman" w:hAnsi="Times New Roman" w:eastAsia="宋体" w:cs="Times New Roman"/>
                <w:szCs w:val="21"/>
                <w:highlight w:val="none"/>
                <w:shd w:val="clear" w:color="auto" w:fill="auto"/>
              </w:rPr>
              <w:t>评分标准</w:t>
            </w:r>
          </w:p>
        </w:tc>
        <w:tc>
          <w:tcPr>
            <w:tcW w:w="3897" w:type="pct"/>
            <w:vAlign w:val="center"/>
          </w:tcPr>
          <w:p>
            <w:pPr>
              <w:spacing w:before="0" w:after="0"/>
              <w:jc w:val="left"/>
              <w:rPr>
                <w:rFonts w:ascii="Times New Roman" w:hAnsi="Times New Roman" w:eastAsia="宋体" w:cs="Times New Roman"/>
                <w:szCs w:val="21"/>
                <w:highlight w:val="none"/>
                <w:shd w:val="clear" w:color="auto" w:fill="auto"/>
              </w:rPr>
            </w:pPr>
            <w:r>
              <w:rPr>
                <w:rFonts w:hint="eastAsia" w:ascii="Times New Roman" w:hAnsi="Times New Roman" w:eastAsia="宋体" w:cs="Times New Roman"/>
                <w:szCs w:val="21"/>
                <w:highlight w:val="none"/>
                <w:shd w:val="clear" w:color="auto" w:fill="auto"/>
              </w:rPr>
              <w:t>详见</w:t>
            </w:r>
            <w:r>
              <w:rPr>
                <w:rFonts w:ascii="Times New Roman" w:hAnsi="Times New Roman" w:eastAsia="宋体" w:cs="Times New Roman"/>
                <w:szCs w:val="21"/>
                <w:highlight w:val="none"/>
                <w:shd w:val="clear" w:color="auto" w:fill="auto"/>
              </w:rPr>
              <w:t>附件</w:t>
            </w:r>
            <w:r>
              <w:rPr>
                <w:rFonts w:hint="eastAsia" w:ascii="Times New Roman" w:hAnsi="Times New Roman" w:eastAsia="宋体" w:cs="Times New Roman"/>
                <w:szCs w:val="21"/>
                <w:highlight w:val="none"/>
                <w:shd w:val="clear" w:color="auto" w:fill="auto"/>
              </w:rPr>
              <w:t>：评标办法</w:t>
            </w:r>
          </w:p>
        </w:tc>
      </w:tr>
    </w:tbl>
    <w:p>
      <w:pPr>
        <w:widowControl/>
        <w:rPr>
          <w:rFonts w:ascii="Times New Roman" w:hAnsi="Times New Roman" w:eastAsia="黑体" w:cs="Times New Roman"/>
          <w:b/>
          <w:spacing w:val="1"/>
          <w:kern w:val="0"/>
          <w:sz w:val="32"/>
          <w:szCs w:val="32"/>
          <w:highlight w:val="none"/>
          <w:shd w:val="clear" w:color="auto" w:fill="auto"/>
        </w:rPr>
      </w:pPr>
    </w:p>
    <w:p>
      <w:pPr>
        <w:pStyle w:val="107"/>
        <w:spacing w:before="0" w:after="0"/>
        <w:jc w:val="center"/>
        <w:outlineLvl w:val="2"/>
        <w:rPr>
          <w:rFonts w:ascii="Times New Roman" w:hAnsi="Times New Roman" w:eastAsia="黑体"/>
          <w:b/>
          <w:spacing w:val="1"/>
          <w:sz w:val="32"/>
          <w:szCs w:val="32"/>
          <w:highlight w:val="none"/>
          <w:shd w:val="clear" w:color="auto" w:fill="auto"/>
          <w:lang w:eastAsia="zh-CN"/>
        </w:rPr>
      </w:pPr>
    </w:p>
    <w:p>
      <w:pPr>
        <w:widowControl/>
        <w:rPr>
          <w:rFonts w:ascii="Times New Roman" w:hAnsi="Times New Roman" w:eastAsia="黑体" w:cs="Times New Roman"/>
          <w:b/>
          <w:spacing w:val="1"/>
          <w:kern w:val="0"/>
          <w:sz w:val="32"/>
          <w:szCs w:val="32"/>
          <w:highlight w:val="none"/>
          <w:shd w:val="clear" w:color="auto" w:fill="auto"/>
        </w:rPr>
      </w:pPr>
      <w:r>
        <w:rPr>
          <w:rFonts w:ascii="Times New Roman" w:hAnsi="Times New Roman" w:eastAsia="黑体"/>
          <w:b/>
          <w:spacing w:val="1"/>
          <w:sz w:val="32"/>
          <w:szCs w:val="32"/>
          <w:highlight w:val="none"/>
          <w:shd w:val="clear" w:color="auto" w:fill="auto"/>
        </w:rPr>
        <w:br w:type="page"/>
      </w:r>
    </w:p>
    <w:p>
      <w:pPr>
        <w:spacing w:before="0" w:afterLines="50" w:line="360" w:lineRule="auto"/>
        <w:ind w:firstLine="560" w:firstLineChars="200"/>
        <w:outlineLvl w:val="3"/>
        <w:rPr>
          <w:rFonts w:ascii="楷体" w:hAnsi="楷体" w:eastAsia="楷体" w:cs="Times New Roman"/>
          <w:sz w:val="28"/>
          <w:szCs w:val="28"/>
          <w:highlight w:val="none"/>
          <w:shd w:val="clear" w:color="auto" w:fill="auto"/>
        </w:rPr>
      </w:pPr>
      <w:bookmarkStart w:id="448" w:name="_Toc436166237"/>
      <w:r>
        <w:rPr>
          <w:rFonts w:hint="eastAsia" w:ascii="楷体" w:hAnsi="楷体" w:eastAsia="楷体" w:cs="Times New Roman"/>
          <w:sz w:val="28"/>
          <w:szCs w:val="28"/>
          <w:highlight w:val="none"/>
          <w:shd w:val="clear" w:color="auto" w:fill="auto"/>
        </w:rPr>
        <w:t>1.相关要求</w:t>
      </w:r>
      <w:bookmarkEnd w:id="448"/>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1</w:t>
      </w:r>
      <w:r>
        <w:rPr>
          <w:rFonts w:ascii="仿宋" w:hAnsi="仿宋" w:eastAsia="仿宋" w:cs="Times New Roman"/>
          <w:sz w:val="24"/>
          <w:szCs w:val="24"/>
          <w:highlight w:val="none"/>
          <w:shd w:val="clear" w:color="auto" w:fill="auto"/>
        </w:rPr>
        <w:t>.1</w:t>
      </w:r>
      <w:r>
        <w:rPr>
          <w:rFonts w:hint="eastAsia" w:ascii="仿宋" w:hAnsi="仿宋" w:eastAsia="仿宋" w:cs="Times New Roman"/>
          <w:sz w:val="24"/>
          <w:szCs w:val="24"/>
          <w:highlight w:val="none"/>
          <w:shd w:val="clear" w:color="auto" w:fill="auto"/>
        </w:rPr>
        <w:t>当投标人未提供符合招标文件规定的技术支持资料时，其技术部分得</w:t>
      </w:r>
      <w:r>
        <w:rPr>
          <w:rFonts w:ascii="仿宋" w:hAnsi="仿宋" w:eastAsia="仿宋" w:cs="Times New Roman"/>
          <w:sz w:val="24"/>
          <w:szCs w:val="24"/>
          <w:highlight w:val="none"/>
          <w:shd w:val="clear" w:color="auto" w:fill="auto"/>
        </w:rPr>
        <w:t>0</w:t>
      </w:r>
      <w:r>
        <w:rPr>
          <w:rFonts w:hint="eastAsia" w:ascii="仿宋" w:hAnsi="仿宋" w:eastAsia="仿宋" w:cs="Times New Roman"/>
          <w:sz w:val="24"/>
          <w:szCs w:val="24"/>
          <w:highlight w:val="none"/>
          <w:shd w:val="clear" w:color="auto" w:fill="auto"/>
        </w:rPr>
        <w:t>分。</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1</w:t>
      </w:r>
      <w:r>
        <w:rPr>
          <w:rFonts w:ascii="仿宋" w:hAnsi="仿宋" w:eastAsia="仿宋" w:cs="Times New Roman"/>
          <w:sz w:val="24"/>
          <w:szCs w:val="24"/>
          <w:highlight w:val="none"/>
          <w:shd w:val="clear" w:color="auto" w:fill="auto"/>
        </w:rPr>
        <w:t>.2</w:t>
      </w:r>
      <w:r>
        <w:rPr>
          <w:rFonts w:hint="eastAsia" w:ascii="仿宋" w:hAnsi="仿宋" w:eastAsia="仿宋" w:cs="Times New Roman"/>
          <w:sz w:val="24"/>
          <w:szCs w:val="24"/>
          <w:highlight w:val="none"/>
          <w:shd w:val="clear" w:color="auto" w:fill="auto"/>
        </w:rPr>
        <w:t>技术汇总得分的计算方法：评标委员会成员技术评分的算术平均值。</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1</w:t>
      </w:r>
      <w:r>
        <w:rPr>
          <w:rFonts w:ascii="仿宋" w:hAnsi="仿宋" w:eastAsia="仿宋" w:cs="Times New Roman"/>
          <w:sz w:val="24"/>
          <w:szCs w:val="24"/>
          <w:highlight w:val="none"/>
          <w:shd w:val="clear" w:color="auto" w:fill="auto"/>
        </w:rPr>
        <w:t>.3</w:t>
      </w:r>
      <w:r>
        <w:rPr>
          <w:rFonts w:hint="eastAsia" w:ascii="仿宋" w:hAnsi="仿宋" w:eastAsia="仿宋" w:cs="Times New Roman"/>
          <w:sz w:val="24"/>
          <w:szCs w:val="24"/>
          <w:highlight w:val="none"/>
          <w:shd w:val="clear" w:color="auto" w:fill="auto"/>
        </w:rPr>
        <w:t>当投标人所投设备功能与招标文件要求相同，但其表述不同时不扣分。</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1.4评分得分非整数的保留小数点后两位（小数点后第三位数四舍五入）。</w:t>
      </w:r>
    </w:p>
    <w:p>
      <w:pPr>
        <w:spacing w:before="0" w:afterLines="50" w:line="360" w:lineRule="auto"/>
        <w:ind w:firstLine="560" w:firstLineChars="200"/>
        <w:outlineLvl w:val="3"/>
        <w:rPr>
          <w:rFonts w:ascii="楷体" w:hAnsi="楷体" w:eastAsia="楷体" w:cs="Times New Roman"/>
          <w:sz w:val="28"/>
          <w:szCs w:val="28"/>
          <w:highlight w:val="none"/>
          <w:shd w:val="clear" w:color="auto" w:fill="auto"/>
        </w:rPr>
      </w:pPr>
      <w:bookmarkStart w:id="449" w:name="_Toc436166238"/>
      <w:r>
        <w:rPr>
          <w:rFonts w:hint="eastAsia" w:ascii="楷体" w:hAnsi="楷体" w:eastAsia="楷体" w:cs="Times New Roman"/>
          <w:sz w:val="28"/>
          <w:szCs w:val="28"/>
          <w:highlight w:val="none"/>
          <w:shd w:val="clear" w:color="auto" w:fill="auto"/>
        </w:rPr>
        <w:t>2.评分标准</w:t>
      </w:r>
      <w:bookmarkEnd w:id="449"/>
    </w:p>
    <w:p>
      <w:pPr>
        <w:spacing w:before="0" w:afterLines="5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w:t>
      </w:r>
      <w:r>
        <w:rPr>
          <w:rFonts w:ascii="仿宋" w:hAnsi="仿宋" w:eastAsia="仿宋" w:cs="Times New Roman"/>
          <w:sz w:val="24"/>
          <w:szCs w:val="24"/>
          <w:highlight w:val="none"/>
          <w:shd w:val="clear" w:color="auto" w:fill="auto"/>
        </w:rPr>
        <w:t>.1</w:t>
      </w:r>
      <w:r>
        <w:rPr>
          <w:rFonts w:hint="eastAsia" w:ascii="仿宋" w:hAnsi="仿宋" w:eastAsia="仿宋" w:cs="Times New Roman"/>
          <w:sz w:val="24"/>
          <w:szCs w:val="24"/>
          <w:highlight w:val="none"/>
          <w:shd w:val="clear" w:color="auto" w:fill="auto"/>
        </w:rPr>
        <w:t>评分因素以及分值</w:t>
      </w:r>
    </w:p>
    <w:tbl>
      <w:tblPr>
        <w:tblStyle w:val="4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2672"/>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7" w:type="dxa"/>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评分因素</w:t>
            </w:r>
          </w:p>
        </w:tc>
        <w:tc>
          <w:tcPr>
            <w:tcW w:w="2672" w:type="dxa"/>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商务部分</w:t>
            </w:r>
          </w:p>
        </w:tc>
        <w:tc>
          <w:tcPr>
            <w:tcW w:w="2693" w:type="dxa"/>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技术部分</w:t>
            </w:r>
          </w:p>
        </w:tc>
        <w:tc>
          <w:tcPr>
            <w:tcW w:w="2410" w:type="dxa"/>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7" w:type="dxa"/>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分值比重</w:t>
            </w:r>
          </w:p>
        </w:tc>
        <w:tc>
          <w:tcPr>
            <w:tcW w:w="2672" w:type="dxa"/>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55分</w:t>
            </w:r>
          </w:p>
        </w:tc>
        <w:tc>
          <w:tcPr>
            <w:tcW w:w="2693" w:type="dxa"/>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45分</w:t>
            </w:r>
          </w:p>
        </w:tc>
        <w:tc>
          <w:tcPr>
            <w:tcW w:w="2410" w:type="dxa"/>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100分</w:t>
            </w:r>
          </w:p>
        </w:tc>
      </w:tr>
    </w:tbl>
    <w:p>
      <w:pPr>
        <w:spacing w:beforeLines="50" w:afterLines="5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w:t>
      </w:r>
      <w:r>
        <w:rPr>
          <w:rFonts w:ascii="仿宋" w:hAnsi="仿宋" w:eastAsia="仿宋" w:cs="Times New Roman"/>
          <w:sz w:val="24"/>
          <w:szCs w:val="24"/>
          <w:highlight w:val="none"/>
          <w:shd w:val="clear" w:color="auto" w:fill="auto"/>
        </w:rPr>
        <w:t>.2</w:t>
      </w:r>
      <w:r>
        <w:rPr>
          <w:rFonts w:hint="eastAsia" w:ascii="仿宋" w:hAnsi="仿宋" w:eastAsia="仿宋" w:cs="Times New Roman"/>
          <w:sz w:val="24"/>
          <w:szCs w:val="24"/>
          <w:highlight w:val="none"/>
          <w:shd w:val="clear" w:color="auto" w:fill="auto"/>
        </w:rPr>
        <w:t>商务部分</w:t>
      </w:r>
    </w:p>
    <w:tbl>
      <w:tblPr>
        <w:tblStyle w:val="4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992"/>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pct"/>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评分因素</w:t>
            </w:r>
          </w:p>
        </w:tc>
        <w:tc>
          <w:tcPr>
            <w:tcW w:w="534" w:type="pct"/>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分数</w:t>
            </w:r>
          </w:p>
        </w:tc>
        <w:tc>
          <w:tcPr>
            <w:tcW w:w="3644" w:type="pct"/>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pct"/>
            <w:shd w:val="clear" w:color="auto" w:fill="auto"/>
            <w:vAlign w:val="center"/>
          </w:tcPr>
          <w:p>
            <w:pPr>
              <w:widowControl/>
              <w:autoSpaceDE w:val="0"/>
              <w:autoSpaceDN w:val="0"/>
              <w:adjustRightInd w:val="0"/>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投标报价</w:t>
            </w:r>
          </w:p>
        </w:tc>
        <w:tc>
          <w:tcPr>
            <w:tcW w:w="534" w:type="pct"/>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ascii="仿宋" w:hAnsi="仿宋" w:eastAsia="仿宋" w:cs="Times New Roman"/>
                <w:kern w:val="1"/>
                <w:sz w:val="24"/>
                <w:szCs w:val="24"/>
                <w:highlight w:val="none"/>
                <w:shd w:val="clear" w:color="auto" w:fill="auto"/>
              </w:rPr>
              <w:t>45</w:t>
            </w:r>
            <w:r>
              <w:rPr>
                <w:rFonts w:hint="eastAsia" w:ascii="仿宋" w:hAnsi="仿宋" w:eastAsia="仿宋" w:cs="Times New Roman"/>
                <w:kern w:val="1"/>
                <w:sz w:val="24"/>
                <w:szCs w:val="24"/>
                <w:highlight w:val="none"/>
                <w:shd w:val="clear" w:color="auto" w:fill="auto"/>
              </w:rPr>
              <w:t>分</w:t>
            </w:r>
          </w:p>
        </w:tc>
        <w:tc>
          <w:tcPr>
            <w:tcW w:w="3644" w:type="pct"/>
            <w:shd w:val="clear" w:color="auto" w:fill="auto"/>
            <w:vAlign w:val="center"/>
          </w:tcPr>
          <w:p>
            <w:pPr>
              <w:spacing w:before="0" w:after="0" w:line="360" w:lineRule="auto"/>
              <w:ind w:firstLine="480" w:firstLineChars="200"/>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满足招标文件要求且投标价格（或者最终价格）最低的投标报价为评标基准价，其价格分为满分。</w:t>
            </w:r>
          </w:p>
          <w:p>
            <w:pPr>
              <w:spacing w:before="0" w:after="0" w:line="360" w:lineRule="auto"/>
              <w:ind w:firstLine="480" w:firstLineChars="200"/>
              <w:rPr>
                <w:rFonts w:ascii="仿宋" w:hAnsi="仿宋" w:eastAsia="仿宋" w:cs="仿宋"/>
                <w:kern w:val="1"/>
                <w:sz w:val="24"/>
                <w:szCs w:val="24"/>
                <w:highlight w:val="none"/>
                <w:shd w:val="clear" w:color="auto" w:fill="auto"/>
              </w:rPr>
            </w:pPr>
            <w:r>
              <w:rPr>
                <w:rFonts w:hint="eastAsia" w:ascii="仿宋" w:hAnsi="仿宋" w:eastAsia="仿宋" w:cs="仿宋"/>
                <w:kern w:val="1"/>
                <w:sz w:val="24"/>
                <w:szCs w:val="24"/>
                <w:highlight w:val="none"/>
                <w:shd w:val="clear" w:color="auto" w:fill="auto"/>
              </w:rPr>
              <w:t>其它报价得分</w:t>
            </w:r>
            <w:r>
              <w:rPr>
                <w:rFonts w:ascii="仿宋" w:hAnsi="仿宋" w:eastAsia="仿宋" w:cs="仿宋"/>
                <w:kern w:val="1"/>
                <w:sz w:val="24"/>
                <w:szCs w:val="24"/>
                <w:highlight w:val="none"/>
                <w:shd w:val="clear" w:color="auto" w:fill="auto"/>
              </w:rPr>
              <w:t>=</w:t>
            </w:r>
            <w:r>
              <w:rPr>
                <w:rFonts w:hint="eastAsia" w:ascii="仿宋" w:hAnsi="仿宋" w:eastAsia="仿宋" w:cs="仿宋"/>
                <w:kern w:val="1"/>
                <w:sz w:val="24"/>
                <w:szCs w:val="24"/>
                <w:highlight w:val="none"/>
                <w:shd w:val="clear" w:color="auto" w:fill="auto"/>
              </w:rPr>
              <w:t>评标基准价÷（投标报价或者最终价格）×</w:t>
            </w:r>
            <w:r>
              <w:rPr>
                <w:rFonts w:ascii="仿宋" w:hAnsi="仿宋" w:eastAsia="仿宋" w:cs="仿宋"/>
                <w:kern w:val="1"/>
                <w:sz w:val="24"/>
                <w:szCs w:val="24"/>
                <w:highlight w:val="none"/>
                <w:shd w:val="clear" w:color="auto" w:fil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pct"/>
            <w:shd w:val="clear" w:color="auto" w:fill="auto"/>
            <w:vAlign w:val="center"/>
          </w:tcPr>
          <w:p>
            <w:pPr>
              <w:widowControl/>
              <w:autoSpaceDE w:val="0"/>
              <w:autoSpaceDN w:val="0"/>
              <w:adjustRightInd w:val="0"/>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企业业绩</w:t>
            </w:r>
          </w:p>
        </w:tc>
        <w:tc>
          <w:tcPr>
            <w:tcW w:w="534" w:type="pct"/>
            <w:shd w:val="clear" w:color="auto" w:fill="auto"/>
            <w:vAlign w:val="center"/>
          </w:tcPr>
          <w:p>
            <w:pPr>
              <w:spacing w:before="0" w:after="0" w:line="360" w:lineRule="auto"/>
              <w:jc w:val="center"/>
              <w:rPr>
                <w:rFonts w:ascii="仿宋" w:hAnsi="仿宋" w:eastAsia="仿宋" w:cs="Times New Roman"/>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5分</w:t>
            </w:r>
          </w:p>
        </w:tc>
        <w:tc>
          <w:tcPr>
            <w:tcW w:w="3644" w:type="pct"/>
            <w:shd w:val="clear" w:color="auto" w:fill="auto"/>
            <w:vAlign w:val="center"/>
          </w:tcPr>
          <w:p>
            <w:pPr>
              <w:spacing w:before="0" w:after="0" w:line="360" w:lineRule="auto"/>
              <w:ind w:firstLine="480" w:firstLineChars="200"/>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近三年（自</w:t>
            </w:r>
            <w:r>
              <w:rPr>
                <w:rFonts w:hint="eastAsia" w:ascii="仿宋" w:hAnsi="仿宋" w:eastAsia="仿宋" w:cs="仿宋"/>
                <w:kern w:val="1"/>
                <w:sz w:val="24"/>
                <w:szCs w:val="24"/>
                <w:highlight w:val="none"/>
                <w:u w:val="single"/>
                <w:shd w:val="clear" w:color="auto" w:fill="auto"/>
              </w:rPr>
              <w:t>2018</w:t>
            </w:r>
            <w:r>
              <w:rPr>
                <w:rFonts w:hint="eastAsia" w:ascii="仿宋" w:hAnsi="仿宋" w:eastAsia="仿宋" w:cs="Times New Roman"/>
                <w:kern w:val="1"/>
                <w:sz w:val="24"/>
                <w:szCs w:val="24"/>
                <w:highlight w:val="none"/>
                <w:shd w:val="clear" w:color="auto" w:fill="auto"/>
              </w:rPr>
              <w:t>年</w:t>
            </w:r>
            <w:r>
              <w:rPr>
                <w:rFonts w:ascii="仿宋" w:hAnsi="仿宋" w:eastAsia="仿宋" w:cs="仿宋"/>
                <w:kern w:val="1"/>
                <w:sz w:val="24"/>
                <w:szCs w:val="24"/>
                <w:highlight w:val="none"/>
                <w:u w:val="single"/>
                <w:shd w:val="clear" w:color="auto" w:fill="auto"/>
              </w:rPr>
              <w:t>1</w:t>
            </w:r>
            <w:r>
              <w:rPr>
                <w:rFonts w:hint="eastAsia" w:ascii="仿宋" w:hAnsi="仿宋" w:eastAsia="仿宋" w:cs="Times New Roman"/>
                <w:kern w:val="1"/>
                <w:sz w:val="24"/>
                <w:szCs w:val="24"/>
                <w:highlight w:val="none"/>
                <w:shd w:val="clear" w:color="auto" w:fill="auto"/>
              </w:rPr>
              <w:t>月</w:t>
            </w:r>
            <w:r>
              <w:rPr>
                <w:rFonts w:ascii="仿宋" w:hAnsi="仿宋" w:eastAsia="仿宋" w:cs="仿宋"/>
                <w:kern w:val="1"/>
                <w:sz w:val="24"/>
                <w:szCs w:val="24"/>
                <w:highlight w:val="none"/>
                <w:u w:val="single"/>
                <w:shd w:val="clear" w:color="auto" w:fill="auto"/>
              </w:rPr>
              <w:t>1</w:t>
            </w:r>
            <w:r>
              <w:rPr>
                <w:rFonts w:hint="eastAsia" w:ascii="仿宋" w:hAnsi="仿宋" w:eastAsia="仿宋" w:cs="Times New Roman"/>
                <w:kern w:val="1"/>
                <w:sz w:val="24"/>
                <w:szCs w:val="24"/>
                <w:highlight w:val="none"/>
                <w:shd w:val="clear" w:color="auto" w:fill="auto"/>
              </w:rPr>
              <w:t>日至公告发出之日止）已完成的同类业绩，每份得</w:t>
            </w:r>
            <w:r>
              <w:rPr>
                <w:rFonts w:ascii="仿宋" w:hAnsi="仿宋" w:eastAsia="仿宋" w:cs="Times New Roman"/>
                <w:kern w:val="1"/>
                <w:sz w:val="24"/>
                <w:szCs w:val="24"/>
                <w:highlight w:val="none"/>
                <w:shd w:val="clear" w:color="auto" w:fill="auto"/>
              </w:rPr>
              <w:t>1</w:t>
            </w:r>
            <w:r>
              <w:rPr>
                <w:rFonts w:hint="eastAsia" w:ascii="仿宋" w:hAnsi="仿宋" w:eastAsia="仿宋" w:cs="Times New Roman"/>
                <w:kern w:val="1"/>
                <w:sz w:val="24"/>
                <w:szCs w:val="24"/>
                <w:highlight w:val="none"/>
                <w:shd w:val="clear" w:color="auto" w:fill="auto"/>
              </w:rPr>
              <w:t>分，最多得5分</w:t>
            </w:r>
          </w:p>
          <w:p>
            <w:pPr>
              <w:spacing w:before="0" w:after="0" w:line="360" w:lineRule="auto"/>
              <w:ind w:firstLine="480" w:firstLineChars="200"/>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同类业绩界定：单项合同100万元及以上的酒店电视采购安装项目。</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须同时提供合同原复印件并加盖公章。同类项目完成时间以合同签署时间为准。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pct"/>
            <w:shd w:val="clear" w:color="auto" w:fill="auto"/>
            <w:vAlign w:val="center"/>
          </w:tcPr>
          <w:p>
            <w:pPr>
              <w:widowControl/>
              <w:autoSpaceDE w:val="0"/>
              <w:autoSpaceDN w:val="0"/>
              <w:adjustRightInd w:val="0"/>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售后服务</w:t>
            </w:r>
          </w:p>
          <w:p>
            <w:pPr>
              <w:widowControl/>
              <w:autoSpaceDE w:val="0"/>
              <w:autoSpaceDN w:val="0"/>
              <w:adjustRightInd w:val="0"/>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机构</w:t>
            </w:r>
          </w:p>
        </w:tc>
        <w:tc>
          <w:tcPr>
            <w:tcW w:w="534" w:type="pct"/>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3分</w:t>
            </w:r>
          </w:p>
        </w:tc>
        <w:tc>
          <w:tcPr>
            <w:tcW w:w="3644" w:type="pct"/>
            <w:shd w:val="clear" w:color="auto" w:fill="auto"/>
            <w:vAlign w:val="center"/>
          </w:tcPr>
          <w:p>
            <w:pPr>
              <w:spacing w:before="0" w:after="0" w:line="360" w:lineRule="auto"/>
              <w:ind w:firstLine="480" w:firstLineChars="200"/>
              <w:rPr>
                <w:rFonts w:ascii="仿宋" w:hAnsi="仿宋" w:eastAsia="仿宋" w:cs="仿宋"/>
                <w:sz w:val="24"/>
                <w:szCs w:val="24"/>
                <w:highlight w:val="none"/>
                <w:shd w:val="clear" w:color="auto" w:fill="auto"/>
                <w:lang w:val="zh-CN"/>
              </w:rPr>
            </w:pPr>
            <w:r>
              <w:rPr>
                <w:rFonts w:hint="eastAsia" w:ascii="仿宋" w:hAnsi="仿宋" w:eastAsia="仿宋" w:cs="仿宋"/>
                <w:sz w:val="24"/>
                <w:szCs w:val="24"/>
                <w:highlight w:val="none"/>
                <w:shd w:val="clear" w:color="auto" w:fill="auto"/>
                <w:lang w:val="zh-CN"/>
              </w:rPr>
              <w:t>青岛地区注册或设有分支机构的得</w:t>
            </w:r>
            <w:r>
              <w:rPr>
                <w:rFonts w:ascii="仿宋" w:hAnsi="仿宋" w:eastAsia="仿宋" w:cs="仿宋"/>
                <w:sz w:val="24"/>
                <w:szCs w:val="24"/>
                <w:highlight w:val="none"/>
                <w:shd w:val="clear" w:color="auto" w:fill="auto"/>
                <w:lang w:val="zh-CN"/>
              </w:rPr>
              <w:t>3</w:t>
            </w:r>
            <w:r>
              <w:rPr>
                <w:rFonts w:hint="eastAsia" w:ascii="仿宋" w:hAnsi="仿宋" w:eastAsia="仿宋" w:cs="仿宋"/>
                <w:sz w:val="24"/>
                <w:szCs w:val="24"/>
                <w:highlight w:val="none"/>
                <w:shd w:val="clear" w:color="auto" w:fill="auto"/>
                <w:lang w:val="zh-CN"/>
              </w:rPr>
              <w:t>分（提供营业执照原件，未提供的不得分），或在青岛具有常驻售后服务机构的得</w:t>
            </w:r>
            <w:r>
              <w:rPr>
                <w:rFonts w:ascii="仿宋" w:hAnsi="仿宋" w:eastAsia="仿宋" w:cs="仿宋"/>
                <w:sz w:val="24"/>
                <w:szCs w:val="24"/>
                <w:highlight w:val="none"/>
                <w:shd w:val="clear" w:color="auto" w:fill="auto"/>
                <w:lang w:val="zh-CN"/>
              </w:rPr>
              <w:t>1</w:t>
            </w:r>
            <w:r>
              <w:rPr>
                <w:rFonts w:hint="eastAsia" w:ascii="仿宋" w:hAnsi="仿宋" w:eastAsia="仿宋" w:cs="仿宋"/>
                <w:sz w:val="24"/>
                <w:szCs w:val="24"/>
                <w:highlight w:val="none"/>
                <w:shd w:val="clear" w:color="auto" w:fill="auto"/>
                <w:lang w:val="zh-CN"/>
              </w:rPr>
              <w:t>分（提供包含维修营业范围的售后维修机构营业执照原件、双方协议书原件，未提供或者提供不全的不得分）。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 w:type="pct"/>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质保期</w:t>
            </w:r>
          </w:p>
        </w:tc>
        <w:tc>
          <w:tcPr>
            <w:tcW w:w="534" w:type="pct"/>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2分</w:t>
            </w:r>
          </w:p>
        </w:tc>
        <w:tc>
          <w:tcPr>
            <w:tcW w:w="3644" w:type="pct"/>
            <w:shd w:val="clear" w:color="auto" w:fill="auto"/>
            <w:vAlign w:val="center"/>
          </w:tcPr>
          <w:p>
            <w:pPr>
              <w:spacing w:before="0" w:after="0" w:line="360" w:lineRule="auto"/>
              <w:ind w:firstLine="480" w:firstLineChars="200"/>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在满足招标文件质保期的基础上，每增加一年得1分，满分2分（以商务响应表中的质保期为准）。</w:t>
            </w:r>
          </w:p>
        </w:tc>
      </w:tr>
    </w:tbl>
    <w:p>
      <w:pPr>
        <w:spacing w:beforeLines="50" w:afterLines="5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w:t>
      </w:r>
      <w:r>
        <w:rPr>
          <w:rFonts w:ascii="仿宋" w:hAnsi="仿宋" w:eastAsia="仿宋" w:cs="Times New Roman"/>
          <w:sz w:val="24"/>
          <w:szCs w:val="24"/>
          <w:highlight w:val="none"/>
          <w:shd w:val="clear" w:color="auto" w:fill="auto"/>
        </w:rPr>
        <w:t>.</w:t>
      </w:r>
      <w:r>
        <w:rPr>
          <w:rFonts w:hint="eastAsia" w:ascii="仿宋" w:hAnsi="仿宋" w:eastAsia="仿宋" w:cs="Times New Roman"/>
          <w:sz w:val="24"/>
          <w:szCs w:val="24"/>
          <w:highlight w:val="none"/>
          <w:shd w:val="clear" w:color="auto" w:fill="auto"/>
        </w:rPr>
        <w:t>3技术部分</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992"/>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评分因素</w:t>
            </w:r>
          </w:p>
        </w:tc>
        <w:tc>
          <w:tcPr>
            <w:tcW w:w="992"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分数</w:t>
            </w:r>
          </w:p>
        </w:tc>
        <w:tc>
          <w:tcPr>
            <w:tcW w:w="6768"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响应情况</w:t>
            </w:r>
          </w:p>
        </w:tc>
        <w:tc>
          <w:tcPr>
            <w:tcW w:w="992"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ascii="仿宋" w:hAnsi="仿宋" w:eastAsia="仿宋" w:cs="Times New Roman"/>
                <w:kern w:val="1"/>
                <w:sz w:val="24"/>
                <w:szCs w:val="24"/>
                <w:highlight w:val="none"/>
                <w:shd w:val="clear" w:color="auto" w:fill="auto"/>
              </w:rPr>
              <w:t>1</w:t>
            </w:r>
            <w:r>
              <w:rPr>
                <w:rFonts w:hint="eastAsia" w:ascii="仿宋" w:hAnsi="仿宋" w:eastAsia="仿宋" w:cs="Times New Roman"/>
                <w:kern w:val="1"/>
                <w:sz w:val="24"/>
                <w:szCs w:val="24"/>
                <w:highlight w:val="none"/>
                <w:shd w:val="clear" w:color="auto" w:fill="auto"/>
              </w:rPr>
              <w:t>5分</w:t>
            </w:r>
          </w:p>
        </w:tc>
        <w:tc>
          <w:tcPr>
            <w:tcW w:w="6768" w:type="dxa"/>
            <w:shd w:val="clear" w:color="auto" w:fill="auto"/>
          </w:tcPr>
          <w:p>
            <w:pPr>
              <w:spacing w:before="0" w:after="0" w:line="360" w:lineRule="auto"/>
              <w:ind w:firstLine="480" w:firstLineChars="200"/>
              <w:rPr>
                <w:rFonts w:ascii="仿宋" w:hAnsi="仿宋" w:eastAsia="仿宋" w:cs="仿宋"/>
                <w:kern w:val="1"/>
                <w:sz w:val="24"/>
                <w:szCs w:val="24"/>
                <w:highlight w:val="none"/>
                <w:shd w:val="clear" w:color="auto" w:fill="auto"/>
              </w:rPr>
            </w:pPr>
            <w:r>
              <w:rPr>
                <w:rFonts w:hint="eastAsia" w:ascii="仿宋" w:hAnsi="仿宋" w:eastAsia="仿宋" w:cs="仿宋"/>
                <w:kern w:val="1"/>
                <w:sz w:val="24"/>
                <w:szCs w:val="24"/>
                <w:highlight w:val="none"/>
                <w:shd w:val="clear" w:color="auto" w:fill="auto"/>
              </w:rPr>
              <w:t>基础分为10分。优于招标文件采购需求参数要求的，每有</w:t>
            </w:r>
            <w:r>
              <w:rPr>
                <w:rFonts w:ascii="仿宋" w:hAnsi="仿宋" w:eastAsia="仿宋" w:cs="仿宋"/>
                <w:kern w:val="1"/>
                <w:sz w:val="24"/>
                <w:szCs w:val="24"/>
                <w:highlight w:val="none"/>
                <w:shd w:val="clear" w:color="auto" w:fill="auto"/>
              </w:rPr>
              <w:t>1</w:t>
            </w:r>
            <w:r>
              <w:rPr>
                <w:rFonts w:hint="eastAsia" w:ascii="仿宋" w:hAnsi="仿宋" w:eastAsia="仿宋" w:cs="仿宋"/>
                <w:kern w:val="1"/>
                <w:sz w:val="24"/>
                <w:szCs w:val="24"/>
                <w:highlight w:val="none"/>
                <w:shd w:val="clear" w:color="auto" w:fill="auto"/>
              </w:rPr>
              <w:t>项加</w:t>
            </w:r>
            <w:r>
              <w:rPr>
                <w:rFonts w:ascii="仿宋" w:hAnsi="仿宋" w:eastAsia="仿宋" w:cs="仿宋"/>
                <w:kern w:val="1"/>
                <w:sz w:val="24"/>
                <w:szCs w:val="24"/>
                <w:highlight w:val="none"/>
                <w:shd w:val="clear" w:color="auto" w:fill="auto"/>
              </w:rPr>
              <w:t>1</w:t>
            </w:r>
            <w:r>
              <w:rPr>
                <w:rFonts w:hint="eastAsia" w:ascii="仿宋" w:hAnsi="仿宋" w:eastAsia="仿宋" w:cs="仿宋"/>
                <w:kern w:val="1"/>
                <w:sz w:val="24"/>
                <w:szCs w:val="24"/>
                <w:highlight w:val="none"/>
                <w:shd w:val="clear" w:color="auto" w:fill="auto"/>
              </w:rPr>
              <w:t>分，最高加5分；每出现一条参数负偏离，扣除基础分</w:t>
            </w:r>
            <w:r>
              <w:rPr>
                <w:rFonts w:ascii="仿宋" w:hAnsi="仿宋" w:eastAsia="仿宋" w:cs="仿宋"/>
                <w:kern w:val="1"/>
                <w:sz w:val="24"/>
                <w:szCs w:val="24"/>
                <w:highlight w:val="none"/>
                <w:shd w:val="clear" w:color="auto" w:fill="auto"/>
              </w:rPr>
              <w:t>2</w:t>
            </w:r>
            <w:r>
              <w:rPr>
                <w:rFonts w:hint="eastAsia" w:ascii="仿宋" w:hAnsi="仿宋" w:eastAsia="仿宋" w:cs="仿宋"/>
                <w:kern w:val="1"/>
                <w:sz w:val="24"/>
                <w:szCs w:val="24"/>
                <w:highlight w:val="none"/>
                <w:shd w:val="clear" w:color="auto" w:fill="auto"/>
              </w:rPr>
              <w:t>分，出现</w:t>
            </w:r>
            <w:r>
              <w:rPr>
                <w:rFonts w:ascii="仿宋" w:hAnsi="仿宋" w:eastAsia="仿宋" w:cs="仿宋"/>
                <w:kern w:val="1"/>
                <w:sz w:val="24"/>
                <w:szCs w:val="24"/>
                <w:highlight w:val="none"/>
                <w:shd w:val="clear" w:color="auto" w:fill="auto"/>
              </w:rPr>
              <w:t>5</w:t>
            </w:r>
            <w:r>
              <w:rPr>
                <w:rFonts w:hint="eastAsia" w:ascii="仿宋" w:hAnsi="仿宋" w:eastAsia="仿宋" w:cs="仿宋"/>
                <w:kern w:val="1"/>
                <w:sz w:val="24"/>
                <w:szCs w:val="24"/>
                <w:highlight w:val="none"/>
                <w:shd w:val="clear" w:color="auto" w:fill="auto"/>
              </w:rPr>
              <w:t>条及以上负偏离的，响应情况项不得分。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质量性能</w:t>
            </w:r>
          </w:p>
        </w:tc>
        <w:tc>
          <w:tcPr>
            <w:tcW w:w="992"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10分</w:t>
            </w:r>
          </w:p>
        </w:tc>
        <w:tc>
          <w:tcPr>
            <w:tcW w:w="6768" w:type="dxa"/>
            <w:shd w:val="clear" w:color="auto" w:fill="auto"/>
          </w:tcPr>
          <w:p>
            <w:pPr>
              <w:spacing w:before="0" w:after="0" w:line="360" w:lineRule="auto"/>
              <w:ind w:firstLine="480" w:firstLineChars="200"/>
              <w:rPr>
                <w:rFonts w:ascii="仿宋" w:hAnsi="仿宋" w:eastAsia="仿宋" w:cs="仿宋"/>
                <w:kern w:val="1"/>
                <w:sz w:val="24"/>
                <w:szCs w:val="24"/>
                <w:highlight w:val="none"/>
                <w:shd w:val="clear" w:color="auto" w:fill="auto"/>
              </w:rPr>
            </w:pPr>
            <w:r>
              <w:rPr>
                <w:rFonts w:hint="eastAsia" w:ascii="仿宋" w:hAnsi="仿宋" w:eastAsia="仿宋" w:cs="仿宋"/>
                <w:kern w:val="1"/>
                <w:sz w:val="24"/>
                <w:szCs w:val="24"/>
                <w:highlight w:val="none"/>
                <w:shd w:val="clear" w:color="auto" w:fill="auto"/>
              </w:rPr>
              <w:t>产品的市场占有率高、品牌信誉度好，得4</w:t>
            </w:r>
            <w:r>
              <w:rPr>
                <w:rFonts w:ascii="仿宋" w:hAnsi="仿宋" w:eastAsia="仿宋" w:cs="仿宋"/>
                <w:kern w:val="1"/>
                <w:sz w:val="24"/>
                <w:szCs w:val="24"/>
                <w:highlight w:val="none"/>
                <w:shd w:val="clear" w:color="auto" w:fill="auto"/>
              </w:rPr>
              <w:t>-1</w:t>
            </w:r>
            <w:r>
              <w:rPr>
                <w:rFonts w:hint="eastAsia" w:ascii="仿宋" w:hAnsi="仿宋" w:eastAsia="仿宋" w:cs="仿宋"/>
                <w:kern w:val="1"/>
                <w:sz w:val="24"/>
                <w:szCs w:val="24"/>
                <w:highlight w:val="none"/>
                <w:shd w:val="clear" w:color="auto" w:fill="auto"/>
              </w:rPr>
              <w:t>分；产品的性能先进、技术成熟，得4</w:t>
            </w:r>
            <w:r>
              <w:rPr>
                <w:rFonts w:ascii="仿宋" w:hAnsi="仿宋" w:eastAsia="仿宋" w:cs="仿宋"/>
                <w:kern w:val="1"/>
                <w:sz w:val="24"/>
                <w:szCs w:val="24"/>
                <w:highlight w:val="none"/>
                <w:shd w:val="clear" w:color="auto" w:fill="auto"/>
              </w:rPr>
              <w:t>-1</w:t>
            </w:r>
            <w:r>
              <w:rPr>
                <w:rFonts w:hint="eastAsia" w:ascii="仿宋" w:hAnsi="仿宋" w:eastAsia="仿宋" w:cs="仿宋"/>
                <w:kern w:val="1"/>
                <w:sz w:val="24"/>
                <w:szCs w:val="24"/>
                <w:highlight w:val="none"/>
                <w:shd w:val="clear" w:color="auto" w:fill="auto"/>
              </w:rPr>
              <w:t>分；产品的配备备件和备选配件价格低，得</w:t>
            </w:r>
            <w:r>
              <w:rPr>
                <w:rFonts w:ascii="仿宋" w:hAnsi="仿宋" w:eastAsia="仿宋" w:cs="仿宋"/>
                <w:kern w:val="1"/>
                <w:sz w:val="24"/>
                <w:szCs w:val="24"/>
                <w:highlight w:val="none"/>
                <w:shd w:val="clear" w:color="auto" w:fill="auto"/>
              </w:rPr>
              <w:t>2-1</w:t>
            </w:r>
            <w:r>
              <w:rPr>
                <w:rFonts w:hint="eastAsia" w:ascii="仿宋" w:hAnsi="仿宋" w:eastAsia="仿宋" w:cs="仿宋"/>
                <w:kern w:val="1"/>
                <w:sz w:val="24"/>
                <w:szCs w:val="24"/>
                <w:highlight w:val="none"/>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shd w:val="clear" w:color="auto" w:fill="auto"/>
            <w:vAlign w:val="center"/>
          </w:tcPr>
          <w:p>
            <w:pPr>
              <w:spacing w:before="0" w:after="0" w:line="360" w:lineRule="auto"/>
              <w:jc w:val="center"/>
              <w:rPr>
                <w:rFonts w:ascii="仿宋" w:hAnsi="仿宋" w:eastAsia="仿宋" w:cs="仿宋"/>
                <w:kern w:val="1"/>
                <w:sz w:val="24"/>
                <w:szCs w:val="24"/>
                <w:highlight w:val="none"/>
                <w:shd w:val="clear" w:color="auto" w:fill="auto"/>
              </w:rPr>
            </w:pPr>
            <w:r>
              <w:rPr>
                <w:rFonts w:hint="eastAsia" w:ascii="仿宋" w:hAnsi="仿宋" w:eastAsia="仿宋" w:cs="仿宋"/>
                <w:kern w:val="1"/>
                <w:sz w:val="24"/>
                <w:szCs w:val="24"/>
                <w:highlight w:val="none"/>
                <w:shd w:val="clear" w:color="auto" w:fill="auto"/>
              </w:rPr>
              <w:t>技术措施</w:t>
            </w:r>
          </w:p>
        </w:tc>
        <w:tc>
          <w:tcPr>
            <w:tcW w:w="992"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15分</w:t>
            </w:r>
          </w:p>
        </w:tc>
        <w:tc>
          <w:tcPr>
            <w:tcW w:w="6768" w:type="dxa"/>
            <w:shd w:val="clear" w:color="auto" w:fill="auto"/>
            <w:vAlign w:val="center"/>
          </w:tcPr>
          <w:p>
            <w:pPr>
              <w:spacing w:before="0" w:after="0" w:line="360" w:lineRule="auto"/>
              <w:ind w:firstLine="480" w:firstLineChars="200"/>
              <w:rPr>
                <w:rFonts w:ascii="仿宋" w:hAnsi="仿宋" w:eastAsia="仿宋" w:cs="仿宋"/>
                <w:kern w:val="1"/>
                <w:sz w:val="24"/>
                <w:szCs w:val="24"/>
                <w:highlight w:val="none"/>
                <w:shd w:val="clear" w:color="auto" w:fill="auto"/>
              </w:rPr>
            </w:pPr>
            <w:r>
              <w:rPr>
                <w:rFonts w:hint="eastAsia" w:ascii="仿宋" w:hAnsi="仿宋" w:eastAsia="仿宋" w:cs="仿宋"/>
                <w:kern w:val="1"/>
                <w:sz w:val="24"/>
                <w:szCs w:val="24"/>
                <w:highlight w:val="none"/>
                <w:shd w:val="clear" w:color="auto" w:fill="auto"/>
              </w:rPr>
              <w:t>有完善的供货组织方案、产品安装和调试的主要技术保证措施，得8</w:t>
            </w:r>
            <w:r>
              <w:rPr>
                <w:rFonts w:ascii="仿宋" w:hAnsi="仿宋" w:eastAsia="仿宋" w:cs="仿宋"/>
                <w:kern w:val="1"/>
                <w:sz w:val="24"/>
                <w:szCs w:val="24"/>
                <w:highlight w:val="none"/>
                <w:shd w:val="clear" w:color="auto" w:fill="auto"/>
              </w:rPr>
              <w:t>-1</w:t>
            </w:r>
            <w:r>
              <w:rPr>
                <w:rFonts w:hint="eastAsia" w:ascii="仿宋" w:hAnsi="仿宋" w:eastAsia="仿宋" w:cs="仿宋"/>
                <w:kern w:val="1"/>
                <w:sz w:val="24"/>
                <w:szCs w:val="24"/>
                <w:highlight w:val="none"/>
                <w:shd w:val="clear" w:color="auto" w:fill="auto"/>
              </w:rPr>
              <w:t>分；有完善的人员培训计划和应用技术支持，得7</w:t>
            </w:r>
            <w:r>
              <w:rPr>
                <w:rFonts w:ascii="仿宋" w:hAnsi="仿宋" w:eastAsia="仿宋" w:cs="仿宋"/>
                <w:kern w:val="1"/>
                <w:sz w:val="24"/>
                <w:szCs w:val="24"/>
                <w:highlight w:val="none"/>
                <w:shd w:val="clear" w:color="auto" w:fill="auto"/>
              </w:rPr>
              <w:t>-1</w:t>
            </w:r>
            <w:r>
              <w:rPr>
                <w:rFonts w:hint="eastAsia" w:ascii="仿宋" w:hAnsi="仿宋" w:eastAsia="仿宋" w:cs="仿宋"/>
                <w:kern w:val="1"/>
                <w:sz w:val="24"/>
                <w:szCs w:val="24"/>
                <w:highlight w:val="none"/>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shd w:val="clear" w:color="auto" w:fill="auto"/>
            <w:vAlign w:val="center"/>
          </w:tcPr>
          <w:p>
            <w:pPr>
              <w:spacing w:before="0" w:after="0" w:line="360" w:lineRule="auto"/>
              <w:jc w:val="center"/>
              <w:rPr>
                <w:rFonts w:ascii="仿宋" w:hAnsi="仿宋" w:eastAsia="仿宋" w:cs="仿宋"/>
                <w:kern w:val="1"/>
                <w:sz w:val="24"/>
                <w:szCs w:val="24"/>
                <w:highlight w:val="none"/>
                <w:shd w:val="clear" w:color="auto" w:fill="auto"/>
              </w:rPr>
            </w:pPr>
            <w:r>
              <w:rPr>
                <w:rFonts w:hint="eastAsia" w:ascii="仿宋" w:hAnsi="仿宋" w:eastAsia="仿宋" w:cs="仿宋"/>
                <w:kern w:val="1"/>
                <w:sz w:val="24"/>
                <w:szCs w:val="24"/>
                <w:highlight w:val="none"/>
                <w:shd w:val="clear" w:color="auto" w:fill="auto"/>
              </w:rPr>
              <w:t>售后服务</w:t>
            </w:r>
          </w:p>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仿宋"/>
                <w:kern w:val="1"/>
                <w:sz w:val="24"/>
                <w:szCs w:val="24"/>
                <w:highlight w:val="none"/>
                <w:shd w:val="clear" w:color="auto" w:fill="auto"/>
              </w:rPr>
              <w:t>方案</w:t>
            </w:r>
          </w:p>
        </w:tc>
        <w:tc>
          <w:tcPr>
            <w:tcW w:w="992" w:type="dxa"/>
            <w:shd w:val="clear" w:color="auto" w:fill="auto"/>
            <w:vAlign w:val="center"/>
          </w:tcPr>
          <w:p>
            <w:pPr>
              <w:spacing w:before="0" w:after="0" w:line="360" w:lineRule="auto"/>
              <w:jc w:val="center"/>
              <w:rPr>
                <w:rFonts w:ascii="仿宋" w:hAnsi="仿宋" w:eastAsia="仿宋" w:cs="Times New Roman"/>
                <w:kern w:val="1"/>
                <w:sz w:val="24"/>
                <w:szCs w:val="24"/>
                <w:highlight w:val="none"/>
                <w:shd w:val="clear" w:color="auto" w:fill="auto"/>
              </w:rPr>
            </w:pPr>
            <w:r>
              <w:rPr>
                <w:rFonts w:hint="eastAsia" w:ascii="仿宋" w:hAnsi="仿宋" w:eastAsia="仿宋" w:cs="Times New Roman"/>
                <w:kern w:val="1"/>
                <w:sz w:val="24"/>
                <w:szCs w:val="24"/>
                <w:highlight w:val="none"/>
                <w:shd w:val="clear" w:color="auto" w:fill="auto"/>
              </w:rPr>
              <w:t>5分</w:t>
            </w:r>
          </w:p>
        </w:tc>
        <w:tc>
          <w:tcPr>
            <w:tcW w:w="6768" w:type="dxa"/>
            <w:shd w:val="clear" w:color="auto" w:fill="auto"/>
          </w:tcPr>
          <w:p>
            <w:pPr>
              <w:spacing w:before="0" w:after="0" w:line="360" w:lineRule="auto"/>
              <w:ind w:firstLine="480" w:firstLineChars="200"/>
              <w:rPr>
                <w:rFonts w:ascii="仿宋" w:hAnsi="仿宋" w:eastAsia="仿宋" w:cs="仿宋"/>
                <w:sz w:val="24"/>
                <w:szCs w:val="24"/>
                <w:highlight w:val="none"/>
                <w:shd w:val="clear" w:color="auto" w:fill="auto"/>
                <w:lang w:val="zh-CN"/>
              </w:rPr>
            </w:pPr>
            <w:r>
              <w:rPr>
                <w:rFonts w:hint="eastAsia" w:ascii="仿宋" w:hAnsi="仿宋" w:eastAsia="仿宋" w:cs="仿宋"/>
                <w:sz w:val="24"/>
                <w:szCs w:val="24"/>
                <w:highlight w:val="none"/>
                <w:shd w:val="clear" w:color="auto" w:fill="auto"/>
                <w:lang w:val="zh-CN"/>
              </w:rPr>
              <w:t>技术人员配置、服务响应时间，得</w:t>
            </w:r>
            <w:r>
              <w:rPr>
                <w:rFonts w:hint="eastAsia" w:ascii="仿宋" w:hAnsi="仿宋" w:eastAsia="仿宋" w:cs="仿宋"/>
                <w:sz w:val="24"/>
                <w:szCs w:val="24"/>
                <w:highlight w:val="none"/>
                <w:shd w:val="clear" w:color="auto" w:fill="auto"/>
              </w:rPr>
              <w:t>3</w:t>
            </w:r>
            <w:r>
              <w:rPr>
                <w:rFonts w:ascii="仿宋" w:hAnsi="仿宋" w:eastAsia="仿宋" w:cs="仿宋"/>
                <w:sz w:val="24"/>
                <w:szCs w:val="24"/>
                <w:highlight w:val="none"/>
                <w:shd w:val="clear" w:color="auto" w:fill="auto"/>
                <w:lang w:val="zh-CN"/>
              </w:rPr>
              <w:t>-1</w:t>
            </w:r>
            <w:r>
              <w:rPr>
                <w:rFonts w:hint="eastAsia" w:ascii="仿宋" w:hAnsi="仿宋" w:eastAsia="仿宋" w:cs="仿宋"/>
                <w:sz w:val="24"/>
                <w:szCs w:val="24"/>
                <w:highlight w:val="none"/>
                <w:shd w:val="clear" w:color="auto" w:fill="auto"/>
                <w:lang w:val="zh-CN"/>
              </w:rPr>
              <w:t>分（提供常驻地</w:t>
            </w:r>
            <w:r>
              <w:rPr>
                <w:rFonts w:hint="eastAsia" w:ascii="仿宋" w:hAnsi="仿宋" w:eastAsia="仿宋" w:cs="仿宋"/>
                <w:kern w:val="0"/>
                <w:sz w:val="24"/>
                <w:szCs w:val="24"/>
                <w:highlight w:val="none"/>
                <w:shd w:val="clear" w:color="auto" w:fill="auto"/>
                <w:lang w:val="zh-CN"/>
              </w:rPr>
              <w:t>行政部门出具的</w:t>
            </w:r>
            <w:r>
              <w:rPr>
                <w:rFonts w:hint="eastAsia" w:ascii="仿宋" w:hAnsi="仿宋" w:eastAsia="仿宋" w:cs="仿宋"/>
                <w:sz w:val="24"/>
                <w:szCs w:val="24"/>
                <w:highlight w:val="none"/>
                <w:shd w:val="clear" w:color="auto" w:fill="auto"/>
                <w:lang w:val="zh-CN"/>
              </w:rPr>
              <w:t>社保证明原件或社保网站打印的社保证明原件，未提供或者提供不全的不得分）；</w:t>
            </w:r>
          </w:p>
          <w:p>
            <w:pPr>
              <w:spacing w:before="0" w:after="0" w:line="360" w:lineRule="auto"/>
              <w:ind w:firstLine="480" w:firstLineChars="200"/>
              <w:rPr>
                <w:rFonts w:ascii="仿宋" w:hAnsi="仿宋" w:eastAsia="仿宋" w:cs="Times New Roman"/>
                <w:kern w:val="1"/>
                <w:sz w:val="24"/>
                <w:szCs w:val="24"/>
                <w:highlight w:val="none"/>
                <w:shd w:val="clear" w:color="auto" w:fill="auto"/>
              </w:rPr>
            </w:pPr>
            <w:r>
              <w:rPr>
                <w:rFonts w:hint="eastAsia" w:ascii="仿宋" w:hAnsi="仿宋" w:eastAsia="仿宋" w:cs="仿宋"/>
                <w:sz w:val="24"/>
                <w:szCs w:val="24"/>
                <w:highlight w:val="none"/>
                <w:shd w:val="clear" w:color="auto" w:fill="auto"/>
                <w:lang w:val="zh-CN"/>
              </w:rPr>
              <w:t>有详细的售后服务方案、质量保证期内产品维护措施，得</w:t>
            </w:r>
            <w:r>
              <w:rPr>
                <w:rFonts w:ascii="仿宋" w:hAnsi="仿宋" w:eastAsia="仿宋" w:cs="仿宋"/>
                <w:sz w:val="24"/>
                <w:szCs w:val="24"/>
                <w:highlight w:val="none"/>
                <w:shd w:val="clear" w:color="auto" w:fill="auto"/>
                <w:lang w:val="zh-CN"/>
              </w:rPr>
              <w:t>2-1</w:t>
            </w:r>
            <w:r>
              <w:rPr>
                <w:rFonts w:hint="eastAsia" w:ascii="仿宋" w:hAnsi="仿宋" w:eastAsia="仿宋" w:cs="仿宋"/>
                <w:sz w:val="24"/>
                <w:szCs w:val="24"/>
                <w:highlight w:val="none"/>
                <w:shd w:val="clear" w:color="auto" w:fill="auto"/>
                <w:lang w:val="zh-CN"/>
              </w:rPr>
              <w:t>分。</w:t>
            </w:r>
          </w:p>
        </w:tc>
      </w:tr>
    </w:tbl>
    <w:p>
      <w:pPr>
        <w:spacing w:before="0" w:after="0" w:line="360" w:lineRule="auto"/>
        <w:ind w:firstLine="420" w:firstLineChars="200"/>
        <w:rPr>
          <w:rFonts w:ascii="宋体" w:hAnsi="宋体" w:eastAsia="宋体" w:cs="Times New Roman"/>
          <w:szCs w:val="21"/>
          <w:highlight w:val="none"/>
          <w:shd w:val="clear" w:color="auto" w:fill="auto"/>
        </w:rPr>
        <w:sectPr>
          <w:footerReference r:id="rId7" w:type="default"/>
          <w:pgSz w:w="11906" w:h="16838"/>
          <w:pgMar w:top="1418" w:right="1418" w:bottom="1418" w:left="1418" w:header="851" w:footer="992" w:gutter="0"/>
          <w:pgNumType w:start="2"/>
          <w:cols w:space="425" w:num="1"/>
          <w:docGrid w:type="lines" w:linePitch="312" w:charSpace="0"/>
        </w:sectPr>
      </w:pPr>
    </w:p>
    <w:p>
      <w:pPr>
        <w:widowControl/>
        <w:spacing w:beforeLines="50" w:afterLines="50" w:line="360" w:lineRule="auto"/>
        <w:outlineLvl w:val="2"/>
        <w:rPr>
          <w:rFonts w:ascii="Times New Roman" w:hAnsi="Times New Roman" w:eastAsia="黑体" w:cs="Times New Roman"/>
          <w:b/>
          <w:color w:val="000000"/>
          <w:sz w:val="32"/>
          <w:highlight w:val="none"/>
          <w:shd w:val="clear" w:color="auto" w:fill="auto"/>
        </w:rPr>
      </w:pPr>
      <w:r>
        <w:rPr>
          <w:rFonts w:ascii="Times New Roman" w:hAnsi="Times New Roman" w:eastAsia="黑体" w:cs="Times New Roman"/>
          <w:b/>
          <w:color w:val="000000"/>
          <w:sz w:val="32"/>
          <w:highlight w:val="none"/>
          <w:shd w:val="clear" w:color="auto" w:fill="auto"/>
        </w:rPr>
        <w:t>1. 评标方法</w:t>
      </w:r>
    </w:p>
    <w:p>
      <w:pPr>
        <w:spacing w:before="0" w:after="0" w:line="360" w:lineRule="auto"/>
        <w:ind w:firstLine="420" w:firstLineChars="200"/>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技术得分高的优先；如果技术得分也相等，按照评标办法前附表的规定确定中标候选人顺序。</w:t>
      </w:r>
    </w:p>
    <w:p>
      <w:pPr>
        <w:widowControl/>
        <w:spacing w:beforeLines="50" w:afterLines="50" w:line="360" w:lineRule="auto"/>
        <w:outlineLvl w:val="2"/>
        <w:rPr>
          <w:rFonts w:ascii="Times New Roman" w:hAnsi="Times New Roman" w:eastAsia="黑体" w:cs="Times New Roman"/>
          <w:b/>
          <w:color w:val="000000"/>
          <w:sz w:val="32"/>
          <w:highlight w:val="none"/>
          <w:shd w:val="clear" w:color="auto" w:fill="auto"/>
        </w:rPr>
      </w:pPr>
      <w:r>
        <w:rPr>
          <w:rFonts w:ascii="Times New Roman" w:hAnsi="Times New Roman" w:eastAsia="黑体" w:cs="Times New Roman"/>
          <w:b/>
          <w:color w:val="000000"/>
          <w:sz w:val="32"/>
          <w:highlight w:val="none"/>
          <w:shd w:val="clear" w:color="auto" w:fill="auto"/>
        </w:rPr>
        <w:t>2. 评审标准</w:t>
      </w:r>
    </w:p>
    <w:p>
      <w:pPr>
        <w:pStyle w:val="168"/>
        <w:spacing w:before="0" w:after="0" w:line="360" w:lineRule="auto"/>
        <w:outlineLvl w:val="3"/>
        <w:rPr>
          <w:rFonts w:eastAsia="黑体"/>
          <w:b/>
          <w:sz w:val="28"/>
          <w:szCs w:val="28"/>
          <w:highlight w:val="none"/>
          <w:shd w:val="clear" w:color="auto" w:fill="auto"/>
        </w:rPr>
      </w:pPr>
      <w:r>
        <w:rPr>
          <w:rFonts w:eastAsia="黑体"/>
          <w:b/>
          <w:sz w:val="28"/>
          <w:szCs w:val="28"/>
          <w:highlight w:val="none"/>
          <w:shd w:val="clear" w:color="auto" w:fill="auto"/>
        </w:rPr>
        <w:t>2.1 初步评审标准</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2.1.1 形式评审标准：见评标办法前附表。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2.1.2 资格评审标准：见评标办法前附表。</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2.1.3 响应性评审标准：见评标办法前附表。</w:t>
      </w:r>
    </w:p>
    <w:p>
      <w:pPr>
        <w:spacing w:before="0" w:after="0" w:line="360" w:lineRule="auto"/>
        <w:outlineLvl w:val="3"/>
        <w:rPr>
          <w:rFonts w:ascii="Times New Roman" w:hAnsi="Times New Roman" w:eastAsia="黑体" w:cs="Times New Roman"/>
          <w:b/>
          <w:color w:val="000000" w:themeColor="text1"/>
          <w:sz w:val="28"/>
          <w:szCs w:val="28"/>
          <w:highlight w:val="none"/>
          <w:shd w:val="clear" w:color="auto" w:fill="auto"/>
        </w:rPr>
      </w:pPr>
      <w:bookmarkStart w:id="450" w:name="_Toc501460717"/>
      <w:r>
        <w:rPr>
          <w:rFonts w:ascii="Times New Roman" w:hAnsi="Times New Roman" w:eastAsia="黑体" w:cs="Times New Roman"/>
          <w:b/>
          <w:color w:val="000000" w:themeColor="text1"/>
          <w:sz w:val="28"/>
          <w:szCs w:val="28"/>
          <w:highlight w:val="none"/>
          <w:shd w:val="clear" w:color="auto" w:fill="auto"/>
        </w:rPr>
        <w:t>2.2 分值构成与评分标准</w:t>
      </w:r>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bookmarkStart w:id="451" w:name="_Toc508806384"/>
      <w:r>
        <w:rPr>
          <w:rFonts w:ascii="Times New Roman" w:hAnsi="Times New Roman" w:eastAsia="宋体" w:cs="Times New Roman"/>
          <w:color w:val="000000" w:themeColor="text1"/>
          <w:kern w:val="0"/>
          <w:szCs w:val="21"/>
          <w:highlight w:val="none"/>
          <w:shd w:val="clear" w:color="auto" w:fill="auto"/>
        </w:rPr>
        <w:t>2.2.1 分值构成</w:t>
      </w:r>
      <w:bookmarkEnd w:id="451"/>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r>
        <w:rPr>
          <w:rFonts w:ascii="Times New Roman" w:hAnsi="Times New Roman" w:eastAsia="宋体" w:cs="Times New Roman"/>
          <w:color w:val="000000" w:themeColor="text1"/>
          <w:kern w:val="0"/>
          <w:szCs w:val="21"/>
          <w:highlight w:val="none"/>
          <w:shd w:val="clear" w:color="auto" w:fill="auto"/>
        </w:rPr>
        <w:t>（1）商务文件部分：见评标办法前附表；</w:t>
      </w:r>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r>
        <w:rPr>
          <w:rFonts w:ascii="Times New Roman" w:hAnsi="Times New Roman" w:eastAsia="宋体" w:cs="Times New Roman"/>
          <w:color w:val="000000" w:themeColor="text1"/>
          <w:kern w:val="0"/>
          <w:szCs w:val="21"/>
          <w:highlight w:val="none"/>
          <w:shd w:val="clear" w:color="auto" w:fill="auto"/>
        </w:rPr>
        <w:t>（2）技术文件部分：见评标办法前附表</w:t>
      </w:r>
      <w:r>
        <w:rPr>
          <w:rFonts w:hint="eastAsia" w:ascii="Times New Roman" w:hAnsi="Times New Roman" w:eastAsia="宋体" w:cs="Times New Roman"/>
          <w:color w:val="000000" w:themeColor="text1"/>
          <w:kern w:val="0"/>
          <w:szCs w:val="21"/>
          <w:highlight w:val="none"/>
          <w:shd w:val="clear" w:color="auto" w:fill="auto"/>
        </w:rPr>
        <w:t>。</w:t>
      </w:r>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bookmarkStart w:id="452" w:name="_Toc508806387"/>
      <w:r>
        <w:rPr>
          <w:rFonts w:ascii="Times New Roman" w:hAnsi="Times New Roman" w:eastAsia="宋体" w:cs="Times New Roman"/>
          <w:color w:val="000000" w:themeColor="text1"/>
          <w:kern w:val="0"/>
          <w:szCs w:val="21"/>
          <w:highlight w:val="none"/>
          <w:shd w:val="clear" w:color="auto" w:fill="auto"/>
        </w:rPr>
        <w:t>2.2.</w:t>
      </w:r>
      <w:r>
        <w:rPr>
          <w:rFonts w:hint="eastAsia" w:ascii="Times New Roman" w:hAnsi="Times New Roman" w:eastAsia="宋体" w:cs="Times New Roman"/>
          <w:color w:val="000000" w:themeColor="text1"/>
          <w:kern w:val="0"/>
          <w:szCs w:val="21"/>
          <w:highlight w:val="none"/>
          <w:shd w:val="clear" w:color="auto" w:fill="auto"/>
        </w:rPr>
        <w:t>2</w:t>
      </w:r>
      <w:r>
        <w:rPr>
          <w:rFonts w:ascii="Times New Roman" w:hAnsi="Times New Roman" w:eastAsia="宋体" w:cs="Times New Roman"/>
          <w:color w:val="000000" w:themeColor="text1"/>
          <w:kern w:val="0"/>
          <w:szCs w:val="21"/>
          <w:highlight w:val="none"/>
          <w:shd w:val="clear" w:color="auto" w:fill="auto"/>
        </w:rPr>
        <w:t xml:space="preserve"> 评分标准</w:t>
      </w:r>
      <w:bookmarkEnd w:id="452"/>
    </w:p>
    <w:p>
      <w:pPr>
        <w:widowControl/>
        <w:spacing w:before="0" w:after="0" w:line="360" w:lineRule="auto"/>
        <w:ind w:firstLine="315" w:firstLineChars="150"/>
        <w:rPr>
          <w:rFonts w:ascii="Times New Roman" w:hAnsi="Times New Roman" w:eastAsia="宋体" w:cs="Times New Roman"/>
          <w:color w:val="000000" w:themeColor="text1"/>
          <w:kern w:val="0"/>
          <w:szCs w:val="21"/>
          <w:highlight w:val="none"/>
          <w:shd w:val="clear" w:color="auto" w:fill="auto"/>
        </w:rPr>
      </w:pPr>
      <w:r>
        <w:rPr>
          <w:rFonts w:ascii="Times New Roman" w:hAnsi="Times New Roman" w:eastAsia="宋体" w:cs="Times New Roman"/>
          <w:color w:val="000000" w:themeColor="text1"/>
          <w:kern w:val="0"/>
          <w:szCs w:val="21"/>
          <w:highlight w:val="none"/>
          <w:shd w:val="clear" w:color="auto" w:fill="auto"/>
        </w:rPr>
        <w:t>（1）商务文件评分标准：见评标办法前附表；</w:t>
      </w:r>
    </w:p>
    <w:p>
      <w:pPr>
        <w:widowControl/>
        <w:spacing w:before="0" w:after="0" w:line="360" w:lineRule="auto"/>
        <w:ind w:firstLine="315" w:firstLineChars="150"/>
        <w:rPr>
          <w:rFonts w:ascii="Times New Roman" w:hAnsi="Times New Roman" w:eastAsia="宋体" w:cs="Times New Roman"/>
          <w:color w:val="000000" w:themeColor="text1"/>
          <w:kern w:val="0"/>
          <w:szCs w:val="21"/>
          <w:highlight w:val="none"/>
          <w:shd w:val="clear" w:color="auto" w:fill="auto"/>
        </w:rPr>
      </w:pPr>
      <w:r>
        <w:rPr>
          <w:rFonts w:ascii="Times New Roman" w:hAnsi="Times New Roman" w:eastAsia="宋体" w:cs="Times New Roman"/>
          <w:color w:val="000000" w:themeColor="text1"/>
          <w:kern w:val="0"/>
          <w:szCs w:val="21"/>
          <w:highlight w:val="none"/>
          <w:shd w:val="clear" w:color="auto" w:fill="auto"/>
        </w:rPr>
        <w:t>（</w:t>
      </w:r>
      <w:r>
        <w:rPr>
          <w:rFonts w:hint="eastAsia" w:ascii="Times New Roman" w:hAnsi="Times New Roman" w:eastAsia="宋体" w:cs="Times New Roman"/>
          <w:color w:val="000000" w:themeColor="text1"/>
          <w:kern w:val="0"/>
          <w:szCs w:val="21"/>
          <w:highlight w:val="none"/>
          <w:shd w:val="clear" w:color="auto" w:fill="auto"/>
        </w:rPr>
        <w:t>2</w:t>
      </w:r>
      <w:r>
        <w:rPr>
          <w:rFonts w:ascii="Times New Roman" w:hAnsi="Times New Roman" w:eastAsia="宋体" w:cs="Times New Roman"/>
          <w:color w:val="000000" w:themeColor="text1"/>
          <w:kern w:val="0"/>
          <w:szCs w:val="21"/>
          <w:highlight w:val="none"/>
          <w:shd w:val="clear" w:color="auto" w:fill="auto"/>
        </w:rPr>
        <w:t>）技术文件评分标准：见评标办法前附表</w:t>
      </w:r>
      <w:r>
        <w:rPr>
          <w:rFonts w:hint="eastAsia" w:ascii="Times New Roman" w:hAnsi="Times New Roman" w:eastAsia="宋体" w:cs="Times New Roman"/>
          <w:color w:val="000000" w:themeColor="text1"/>
          <w:kern w:val="0"/>
          <w:szCs w:val="21"/>
          <w:highlight w:val="none"/>
          <w:shd w:val="clear" w:color="auto" w:fill="auto"/>
        </w:rPr>
        <w:t>。</w:t>
      </w:r>
    </w:p>
    <w:p>
      <w:pPr>
        <w:widowControl/>
        <w:spacing w:beforeLines="50" w:afterLines="50" w:line="360" w:lineRule="auto"/>
        <w:outlineLvl w:val="2"/>
        <w:rPr>
          <w:rFonts w:ascii="Times New Roman" w:hAnsi="Times New Roman" w:eastAsia="黑体" w:cs="Times New Roman"/>
          <w:b/>
          <w:color w:val="000000"/>
          <w:sz w:val="32"/>
          <w:highlight w:val="none"/>
          <w:shd w:val="clear" w:color="auto" w:fill="auto"/>
        </w:rPr>
      </w:pPr>
      <w:r>
        <w:rPr>
          <w:rFonts w:ascii="Times New Roman" w:hAnsi="Times New Roman" w:eastAsia="黑体" w:cs="Times New Roman"/>
          <w:b/>
          <w:color w:val="000000"/>
          <w:sz w:val="32"/>
          <w:highlight w:val="none"/>
          <w:shd w:val="clear" w:color="auto" w:fill="auto"/>
        </w:rPr>
        <w:t>3. 评标程序</w:t>
      </w:r>
      <w:bookmarkEnd w:id="450"/>
    </w:p>
    <w:p>
      <w:pPr>
        <w:pStyle w:val="168"/>
        <w:spacing w:before="0" w:after="0" w:line="360" w:lineRule="auto"/>
        <w:outlineLvl w:val="3"/>
        <w:rPr>
          <w:rFonts w:eastAsia="黑体"/>
          <w:b/>
          <w:sz w:val="28"/>
          <w:szCs w:val="28"/>
          <w:highlight w:val="none"/>
          <w:shd w:val="clear" w:color="auto" w:fill="auto"/>
        </w:rPr>
      </w:pPr>
      <w:r>
        <w:rPr>
          <w:rFonts w:eastAsia="黑体"/>
          <w:b/>
          <w:sz w:val="28"/>
          <w:szCs w:val="28"/>
          <w:highlight w:val="none"/>
          <w:shd w:val="clear" w:color="auto" w:fill="auto"/>
        </w:rPr>
        <w:t>3.1 初步评审</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3.1.2 投标人有以下情形之一的，评标委员会应当否决其投标：</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（1）投标文件没有对招标文件的实质性要求和条件作出响应，或者对招标文件的偏差超出招标文件规定的偏差范围或最高项数；</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（2）有串通投标、弄虚作假、行贿等违法行为。</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3.1.3 投标报价有算术错误及其他错误的，评标委员会按以下原则对投标报价进</w:t>
      </w:r>
      <w:bookmarkStart w:id="453" w:name="_Toc247514027"/>
      <w:bookmarkStart w:id="454" w:name="_Toc152045603"/>
      <w:bookmarkStart w:id="455" w:name="_Toc247527628"/>
      <w:bookmarkStart w:id="456" w:name="_Toc300835013"/>
      <w:bookmarkStart w:id="457" w:name="_Toc352691538"/>
      <w:bookmarkStart w:id="458" w:name="_Toc369531582"/>
      <w:bookmarkStart w:id="459" w:name="_Toc384308277"/>
      <w:bookmarkStart w:id="460" w:name="_Toc144974570"/>
      <w:bookmarkStart w:id="461" w:name="_Toc152042380"/>
      <w:bookmarkStart w:id="462" w:name="_Toc361508651"/>
      <w:bookmarkStart w:id="463" w:name="_Toc2907"/>
      <w:r>
        <w:rPr>
          <w:rFonts w:ascii="Times New Roman" w:hAnsi="Times New Roman" w:cs="Times New Roman"/>
          <w:kern w:val="0"/>
          <w:szCs w:val="21"/>
          <w:highlight w:val="none"/>
          <w:shd w:val="clear" w:color="auto" w:fill="auto"/>
        </w:rPr>
        <w:t>行修正，并要求投标人书面澄清确认。</w:t>
      </w:r>
      <w:bookmarkEnd w:id="453"/>
      <w:bookmarkEnd w:id="454"/>
      <w:bookmarkEnd w:id="455"/>
      <w:bookmarkEnd w:id="456"/>
      <w:bookmarkEnd w:id="457"/>
      <w:bookmarkEnd w:id="458"/>
      <w:bookmarkEnd w:id="459"/>
      <w:bookmarkEnd w:id="460"/>
      <w:bookmarkEnd w:id="461"/>
      <w:bookmarkEnd w:id="462"/>
      <w:bookmarkEnd w:id="463"/>
      <w:r>
        <w:rPr>
          <w:rFonts w:ascii="Times New Roman" w:hAnsi="Times New Roman" w:cs="Times New Roman"/>
          <w:kern w:val="0"/>
          <w:szCs w:val="21"/>
          <w:highlight w:val="none"/>
          <w:shd w:val="clear" w:color="auto" w:fill="auto"/>
        </w:rPr>
        <w:t>投标人拒不澄清确认的，评标委员会应当否决其投标：</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（1）投标文件中的大写金额与小写金额不一致的，以大写金额为准；</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（2）总价金额与单价金额不一致的，以单价金额为准，但单价金额小数点有明显错误的除外；</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（3）投标报价为各分项报价金额之和，投标报价与分项报价的合价不一致的，应以各分项合价累计数为准，修正投标报价；</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（4）如果分项报价中存在缺漏项，则视为缺漏项价格已包含在其他分项报价之中。</w:t>
      </w:r>
    </w:p>
    <w:p>
      <w:pPr>
        <w:pStyle w:val="168"/>
        <w:spacing w:before="0" w:after="0" w:line="360" w:lineRule="auto"/>
        <w:outlineLvl w:val="3"/>
        <w:rPr>
          <w:rFonts w:eastAsia="黑体"/>
          <w:b/>
          <w:sz w:val="28"/>
          <w:szCs w:val="28"/>
          <w:highlight w:val="none"/>
          <w:shd w:val="clear" w:color="auto" w:fill="auto"/>
        </w:rPr>
      </w:pPr>
      <w:r>
        <w:rPr>
          <w:rFonts w:eastAsia="黑体"/>
          <w:b/>
          <w:sz w:val="28"/>
          <w:szCs w:val="28"/>
          <w:highlight w:val="none"/>
          <w:shd w:val="clear" w:color="auto" w:fill="auto"/>
        </w:rPr>
        <w:t>3.2 详细评审</w:t>
      </w:r>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r>
        <w:rPr>
          <w:rFonts w:ascii="Times New Roman" w:hAnsi="Times New Roman" w:eastAsia="宋体" w:cs="Times New Roman"/>
          <w:color w:val="000000" w:themeColor="text1"/>
          <w:kern w:val="0"/>
          <w:szCs w:val="21"/>
          <w:highlight w:val="none"/>
          <w:shd w:val="clear" w:color="auto" w:fill="auto"/>
        </w:rPr>
        <w:t>3.2.1 评标委员会按本章第 2.2 款规定的量化因素和分值进行打分，并计算出综合评估得分。</w:t>
      </w:r>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r>
        <w:rPr>
          <w:rFonts w:hint="eastAsia" w:ascii="Times New Roman" w:hAnsi="Times New Roman" w:eastAsia="宋体" w:cs="Times New Roman"/>
          <w:color w:val="000000" w:themeColor="text1"/>
          <w:kern w:val="0"/>
          <w:szCs w:val="21"/>
          <w:highlight w:val="none"/>
          <w:shd w:val="clear" w:color="auto" w:fill="auto"/>
        </w:rPr>
        <w:t>（1）按本章第 2.2.2（1）目规定的评审因素、分值对商务文件部分计算出得分 A；</w:t>
      </w:r>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r>
        <w:rPr>
          <w:rFonts w:hint="eastAsia" w:ascii="Times New Roman" w:hAnsi="Times New Roman" w:eastAsia="宋体" w:cs="Times New Roman"/>
          <w:color w:val="000000" w:themeColor="text1"/>
          <w:kern w:val="0"/>
          <w:szCs w:val="21"/>
          <w:highlight w:val="none"/>
          <w:shd w:val="clear" w:color="auto" w:fill="auto"/>
        </w:rPr>
        <w:t>（2）按本章第 2.2.2（2）目规定的评审因素、分值对技术文件部分计算出得分 B；</w:t>
      </w:r>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r>
        <w:rPr>
          <w:rFonts w:ascii="Times New Roman" w:hAnsi="Times New Roman" w:eastAsia="宋体" w:cs="Times New Roman"/>
          <w:color w:val="000000" w:themeColor="text1"/>
          <w:kern w:val="0"/>
          <w:szCs w:val="21"/>
          <w:highlight w:val="none"/>
          <w:shd w:val="clear" w:color="auto" w:fill="auto"/>
        </w:rPr>
        <w:t>3.2.2 评分分值计算保留小数点后两位，小数点后第三位“四舍五入”。</w:t>
      </w:r>
    </w:p>
    <w:p>
      <w:pPr>
        <w:widowControl/>
        <w:spacing w:before="0" w:after="0" w:line="360" w:lineRule="auto"/>
        <w:ind w:firstLine="420" w:firstLineChars="200"/>
        <w:rPr>
          <w:rFonts w:ascii="Times New Roman" w:hAnsi="Times New Roman" w:eastAsia="宋体" w:cs="Times New Roman"/>
          <w:color w:val="000000" w:themeColor="text1"/>
          <w:kern w:val="0"/>
          <w:szCs w:val="21"/>
          <w:highlight w:val="none"/>
          <w:shd w:val="clear" w:color="auto" w:fill="auto"/>
        </w:rPr>
      </w:pPr>
      <w:r>
        <w:rPr>
          <w:rFonts w:ascii="Times New Roman" w:hAnsi="Times New Roman" w:eastAsia="宋体" w:cs="Times New Roman"/>
          <w:color w:val="000000" w:themeColor="text1"/>
          <w:kern w:val="0"/>
          <w:szCs w:val="21"/>
          <w:highlight w:val="none"/>
          <w:shd w:val="clear" w:color="auto" w:fill="auto"/>
        </w:rPr>
        <w:t>3.2.3 投标人得分=A+B。</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168"/>
        <w:spacing w:before="0" w:after="0" w:line="360" w:lineRule="auto"/>
        <w:outlineLvl w:val="3"/>
        <w:rPr>
          <w:rFonts w:eastAsia="黑体"/>
          <w:b/>
          <w:sz w:val="28"/>
          <w:szCs w:val="28"/>
          <w:highlight w:val="none"/>
          <w:shd w:val="clear" w:color="auto" w:fill="auto"/>
        </w:rPr>
      </w:pPr>
      <w:r>
        <w:rPr>
          <w:rFonts w:eastAsia="黑体"/>
          <w:b/>
          <w:sz w:val="28"/>
          <w:szCs w:val="28"/>
          <w:highlight w:val="none"/>
          <w:shd w:val="clear" w:color="auto" w:fill="auto"/>
        </w:rPr>
        <w:t>3.3 投标文件的澄清</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3.3.1 在评标过程中，评标委员会可以书面形式要求投标人对投标文件中含义不明确、对同类问题表述不一致或者有明显文字和计算错误的内容做必要的澄清、说明或补正。澄清、说明或补正应以书面方式进行。评标委员会不接受投标人主动提出的澄清、说明或补正。</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3.3.2 澄清、说明或补正不得超出投标文件的范围且不得改变投标文件的实质性内容，并构成投标文件的组成部分。</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3.3.3 评标委员会对投标人提交的澄清、说明或补正有疑问的，可以要求投标人进一步澄清、说明或补正，直至满足评标委员会的要求。</w:t>
      </w:r>
    </w:p>
    <w:p>
      <w:pPr>
        <w:pStyle w:val="168"/>
        <w:spacing w:before="0" w:after="0" w:line="360" w:lineRule="auto"/>
        <w:outlineLvl w:val="3"/>
        <w:rPr>
          <w:rFonts w:eastAsia="黑体"/>
          <w:b/>
          <w:sz w:val="28"/>
          <w:szCs w:val="28"/>
          <w:highlight w:val="none"/>
          <w:shd w:val="clear" w:color="auto" w:fill="auto"/>
        </w:rPr>
      </w:pPr>
      <w:r>
        <w:rPr>
          <w:rFonts w:eastAsia="黑体"/>
          <w:b/>
          <w:sz w:val="28"/>
          <w:szCs w:val="28"/>
          <w:highlight w:val="none"/>
          <w:shd w:val="clear" w:color="auto" w:fill="auto"/>
        </w:rPr>
        <w:t>3.4 评标结果</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3.4.1 除第二章“投标人须知”前附表授权直接确定中标人外，评标委员会按照得分由高到低的顺序推荐中标候选人，并标明排序。</w:t>
      </w:r>
    </w:p>
    <w:p>
      <w:pPr>
        <w:spacing w:before="0" w:after="0" w:line="360" w:lineRule="auto"/>
        <w:ind w:firstLine="420" w:firstLineChars="200"/>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3.4.2 评标委员会完成评标后，应当向招标人提交书面评标报告和中标候选人名单。</w:t>
      </w:r>
    </w:p>
    <w:p>
      <w:pPr>
        <w:widowControl/>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br w:type="page"/>
      </w: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bookmarkStart w:id="464" w:name="_Toc508806393"/>
      <w:bookmarkStart w:id="465" w:name="_Toc532285480"/>
      <w:bookmarkStart w:id="466" w:name="_Toc499646503"/>
      <w:bookmarkStart w:id="467" w:name="_Toc60646644"/>
      <w:bookmarkStart w:id="468" w:name="_Toc532388790"/>
      <w:r>
        <w:rPr>
          <w:rFonts w:ascii="Times New Roman" w:hAnsi="Times New Roman" w:eastAsia="黑体" w:cs="Times New Roman"/>
          <w:b/>
          <w:sz w:val="44"/>
          <w:szCs w:val="44"/>
          <w:highlight w:val="none"/>
          <w:shd w:val="clear" w:color="auto" w:fill="auto"/>
        </w:rPr>
        <w:t>第四章 合同条款及格式</w:t>
      </w:r>
      <w:bookmarkEnd w:id="464"/>
      <w:bookmarkEnd w:id="465"/>
      <w:bookmarkEnd w:id="466"/>
      <w:bookmarkEnd w:id="467"/>
      <w:bookmarkEnd w:id="468"/>
      <w:bookmarkStart w:id="469" w:name="_Toc499646504"/>
      <w:bookmarkStart w:id="470" w:name="_Toc47416185"/>
      <w:bookmarkStart w:id="471" w:name="_Toc47415931"/>
      <w:bookmarkStart w:id="472" w:name="_Toc49019224"/>
    </w:p>
    <w:bookmarkEnd w:id="469"/>
    <w:p>
      <w:pPr>
        <w:pStyle w:val="37"/>
        <w:adjustRightInd w:val="0"/>
        <w:snapToGrid w:val="0"/>
        <w:spacing w:beforeAutospacing="0" w:afterAutospacing="0" w:line="360" w:lineRule="auto"/>
        <w:jc w:val="center"/>
        <w:rPr>
          <w:rFonts w:ascii="黑体" w:hAnsi="黑体" w:eastAsia="黑体" w:cs="黑体"/>
          <w:b/>
          <w:bCs/>
          <w:sz w:val="44"/>
          <w:szCs w:val="44"/>
          <w:highlight w:val="none"/>
          <w:shd w:val="clear" w:color="auto" w:fill="auto"/>
        </w:rPr>
      </w:pPr>
      <w:bookmarkStart w:id="473" w:name="_Toc508806502"/>
      <w:bookmarkStart w:id="474" w:name="_Toc499646509"/>
      <w:r>
        <w:rPr>
          <w:rFonts w:hint="eastAsia" w:ascii="黑体" w:hAnsi="黑体" w:eastAsia="黑体" w:cs="黑体"/>
          <w:b/>
          <w:bCs/>
          <w:sz w:val="44"/>
          <w:szCs w:val="44"/>
          <w:highlight w:val="none"/>
          <w:u w:val="single"/>
          <w:shd w:val="clear" w:color="auto" w:fill="auto"/>
        </w:rPr>
        <w:t xml:space="preserve">采 购 </w:t>
      </w:r>
      <w:r>
        <w:rPr>
          <w:rFonts w:hint="eastAsia" w:ascii="黑体" w:hAnsi="黑体" w:eastAsia="黑体" w:cs="黑体"/>
          <w:b/>
          <w:bCs/>
          <w:sz w:val="44"/>
          <w:szCs w:val="44"/>
          <w:highlight w:val="none"/>
          <w:shd w:val="clear" w:color="auto" w:fill="auto"/>
        </w:rPr>
        <w:t>合同</w:t>
      </w:r>
    </w:p>
    <w:p>
      <w:pPr>
        <w:pStyle w:val="37"/>
        <w:adjustRightInd w:val="0"/>
        <w:snapToGrid w:val="0"/>
        <w:spacing w:beforeAutospacing="0" w:afterAutospacing="0" w:line="400" w:lineRule="exact"/>
        <w:ind w:firstLine="480"/>
        <w:rPr>
          <w:rFonts w:ascii="仿宋" w:hAnsi="仿宋" w:eastAsia="仿宋" w:cs="仿宋"/>
          <w:highlight w:val="none"/>
          <w:shd w:val="clear" w:color="auto" w:fill="auto"/>
        </w:rPr>
      </w:pPr>
      <w:r>
        <w:rPr>
          <w:rFonts w:hint="eastAsia" w:ascii="仿宋" w:hAnsi="仿宋" w:eastAsia="仿宋" w:cs="仿宋"/>
          <w:sz w:val="12"/>
          <w:szCs w:val="12"/>
          <w:highlight w:val="none"/>
          <w:shd w:val="clear" w:color="auto" w:fill="auto"/>
        </w:rPr>
        <w:t xml:space="preserve">   </w:t>
      </w:r>
      <w:r>
        <w:rPr>
          <w:rFonts w:hint="eastAsia" w:ascii="仿宋" w:hAnsi="仿宋" w:eastAsia="仿宋" w:cs="仿宋"/>
          <w:highlight w:val="none"/>
          <w:shd w:val="clear" w:color="auto" w:fill="auto"/>
        </w:rPr>
        <w:t xml:space="preserve">                                  </w:t>
      </w:r>
    </w:p>
    <w:tbl>
      <w:tblPr>
        <w:tblStyle w:val="42"/>
        <w:tblW w:w="3388" w:type="dxa"/>
        <w:jc w:val="right"/>
        <w:tblLayout w:type="autofit"/>
        <w:tblCellMar>
          <w:top w:w="0" w:type="dxa"/>
          <w:left w:w="0" w:type="dxa"/>
          <w:bottom w:w="0" w:type="dxa"/>
          <w:right w:w="0" w:type="dxa"/>
        </w:tblCellMar>
      </w:tblPr>
      <w:tblGrid>
        <w:gridCol w:w="1388"/>
        <w:gridCol w:w="2000"/>
      </w:tblGrid>
      <w:tr>
        <w:tblPrEx>
          <w:tblCellMar>
            <w:top w:w="0" w:type="dxa"/>
            <w:left w:w="0" w:type="dxa"/>
            <w:bottom w:w="0" w:type="dxa"/>
            <w:right w:w="0" w:type="dxa"/>
          </w:tblCellMar>
        </w:tblPrEx>
        <w:trPr>
          <w:trHeight w:val="90" w:hRule="atLeast"/>
          <w:jc w:val="right"/>
        </w:trPr>
        <w:tc>
          <w:tcPr>
            <w:tcW w:w="1388" w:type="dxa"/>
            <w:tcBorders>
              <w:top w:val="single" w:color="DDDDDD" w:sz="6" w:space="0"/>
              <w:left w:val="single" w:color="DDDDDD" w:sz="6" w:space="0"/>
              <w:bottom w:val="single" w:color="DDDDDD" w:sz="6" w:space="0"/>
              <w:right w:val="single" w:color="DDDDDD" w:sz="6" w:space="0"/>
            </w:tcBorders>
            <w:tcMar>
              <w:left w:w="108" w:type="dxa"/>
              <w:right w:w="108" w:type="dxa"/>
            </w:tcMa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ascii="仿宋" w:hAnsi="仿宋" w:eastAsia="仿宋" w:cs="仿宋"/>
                <w:highlight w:val="none"/>
                <w:shd w:val="clear" w:color="auto" w:fill="auto"/>
              </w:rPr>
              <w:t>合同编号：</w:t>
            </w:r>
          </w:p>
        </w:tc>
        <w:tc>
          <w:tcPr>
            <w:tcW w:w="2000" w:type="dxa"/>
            <w:tcBorders>
              <w:top w:val="single" w:color="DDDDDD" w:sz="6" w:space="0"/>
              <w:left w:val="single" w:color="DDDDDD" w:sz="6" w:space="0"/>
              <w:bottom w:val="single" w:color="DDDDDD" w:sz="6" w:space="0"/>
              <w:right w:val="single" w:color="DDDDDD" w:sz="6" w:space="0"/>
            </w:tcBorders>
            <w:tcMar>
              <w:left w:w="108" w:type="dxa"/>
              <w:right w:w="108" w:type="dxa"/>
            </w:tcMa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   </w:t>
            </w:r>
          </w:p>
        </w:tc>
      </w:tr>
      <w:tr>
        <w:tblPrEx>
          <w:tblCellMar>
            <w:top w:w="0" w:type="dxa"/>
            <w:left w:w="0" w:type="dxa"/>
            <w:bottom w:w="0" w:type="dxa"/>
            <w:right w:w="0" w:type="dxa"/>
          </w:tblCellMar>
        </w:tblPrEx>
        <w:trPr>
          <w:jc w:val="right"/>
        </w:trPr>
        <w:tc>
          <w:tcPr>
            <w:tcW w:w="1388" w:type="dxa"/>
            <w:tcBorders>
              <w:top w:val="single" w:color="DDDDDD" w:sz="6" w:space="0"/>
              <w:left w:val="single" w:color="DDDDDD" w:sz="6" w:space="0"/>
              <w:bottom w:val="single" w:color="DDDDDD" w:sz="6" w:space="0"/>
              <w:right w:val="single" w:color="DDDDDD" w:sz="6" w:space="0"/>
            </w:tcBorders>
            <w:tcMar>
              <w:left w:w="108" w:type="dxa"/>
              <w:right w:w="108" w:type="dxa"/>
            </w:tcMa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签订地点：</w:t>
            </w:r>
          </w:p>
        </w:tc>
        <w:tc>
          <w:tcPr>
            <w:tcW w:w="2000" w:type="dxa"/>
            <w:tcBorders>
              <w:top w:val="single" w:color="DDDDDD" w:sz="6" w:space="0"/>
              <w:left w:val="single" w:color="DDDDDD" w:sz="6" w:space="0"/>
              <w:bottom w:val="single" w:color="DDDDDD" w:sz="6" w:space="0"/>
              <w:right w:val="single" w:color="DDDDDD" w:sz="6" w:space="0"/>
            </w:tcBorders>
            <w:tcMar>
              <w:left w:w="108" w:type="dxa"/>
              <w:right w:w="108" w:type="dxa"/>
            </w:tcMa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 青岛市    区  </w:t>
            </w:r>
          </w:p>
        </w:tc>
      </w:tr>
    </w:tbl>
    <w:p>
      <w:pPr>
        <w:pStyle w:val="37"/>
        <w:adjustRightInd w:val="0"/>
        <w:snapToGrid w:val="0"/>
        <w:spacing w:beforeAutospacing="0" w:afterAutospacing="0" w:line="400" w:lineRule="exact"/>
        <w:jc w:val="right"/>
        <w:rPr>
          <w:rFonts w:ascii="微软雅黑" w:hAnsi="微软雅黑" w:eastAsia="微软雅黑" w:cs="微软雅黑"/>
          <w:highlight w:val="none"/>
          <w:shd w:val="clear" w:color="auto" w:fill="auto"/>
        </w:rPr>
      </w:pPr>
      <w:r>
        <w:rPr>
          <w:rFonts w:hint="eastAsia" w:ascii="仿宋" w:hAnsi="仿宋" w:eastAsia="仿宋" w:cs="仿宋"/>
          <w:highlight w:val="none"/>
          <w:shd w:val="clear" w:color="auto" w:fill="auto"/>
        </w:rPr>
        <w:t>         </w:t>
      </w:r>
    </w:p>
    <w:p>
      <w:pPr>
        <w:pStyle w:val="37"/>
        <w:adjustRightInd w:val="0"/>
        <w:snapToGrid w:val="0"/>
        <w:spacing w:beforeAutospacing="0" w:afterAutospacing="0" w:line="400" w:lineRule="exact"/>
        <w:ind w:firstLine="482" w:firstLineChars="200"/>
        <w:rPr>
          <w:rFonts w:ascii="仿宋" w:hAnsi="仿宋" w:eastAsia="仿宋" w:cs="仿宋"/>
          <w:highlight w:val="none"/>
          <w:shd w:val="clear" w:color="auto" w:fill="auto"/>
        </w:rPr>
      </w:pPr>
      <w:r>
        <w:rPr>
          <w:rFonts w:hint="eastAsia" w:ascii="仿宋" w:hAnsi="仿宋" w:eastAsia="仿宋" w:cs="仿宋"/>
          <w:b/>
          <w:bCs/>
          <w:highlight w:val="none"/>
          <w:shd w:val="clear" w:color="auto" w:fill="auto"/>
        </w:rPr>
        <w:t>甲方（买方）</w:t>
      </w:r>
      <w:r>
        <w:rPr>
          <w:rFonts w:hint="eastAsia" w:ascii="仿宋" w:hAnsi="仿宋" w:eastAsia="仿宋" w:cs="仿宋"/>
          <w:highlight w:val="none"/>
          <w:shd w:val="clear" w:color="auto" w:fill="auto"/>
        </w:rPr>
        <w:t>：青岛国信财富中心建设有限公司  </w:t>
      </w:r>
    </w:p>
    <w:p>
      <w:pPr>
        <w:pStyle w:val="37"/>
        <w:adjustRightInd w:val="0"/>
        <w:snapToGrid w:val="0"/>
        <w:spacing w:beforeAutospacing="0" w:afterAutospacing="0" w:line="400" w:lineRule="exact"/>
        <w:ind w:firstLine="482" w:firstLineChars="200"/>
        <w:rPr>
          <w:rFonts w:ascii="仿宋" w:hAnsi="仿宋" w:eastAsia="仿宋" w:cs="仿宋"/>
          <w:highlight w:val="none"/>
          <w:shd w:val="clear" w:color="auto" w:fill="auto"/>
        </w:rPr>
      </w:pPr>
      <w:r>
        <w:rPr>
          <w:rFonts w:hint="eastAsia" w:ascii="仿宋" w:hAnsi="仿宋" w:eastAsia="仿宋" w:cs="仿宋"/>
          <w:b/>
          <w:bCs/>
          <w:highlight w:val="none"/>
          <w:shd w:val="clear" w:color="auto" w:fill="auto"/>
        </w:rPr>
        <w:t>乙方（卖方）</w:t>
      </w:r>
      <w:r>
        <w:rPr>
          <w:rFonts w:hint="eastAsia" w:ascii="仿宋" w:hAnsi="仿宋" w:eastAsia="仿宋" w:cs="仿宋"/>
          <w:highlight w:val="none"/>
          <w:shd w:val="clear" w:color="auto" w:fill="auto"/>
        </w:rPr>
        <w:t>：  </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经双方平等自愿协商，达成本合同，供双方共同遵守。</w:t>
      </w:r>
    </w:p>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1.采购的产品/物品/服务</w:t>
      </w:r>
    </w:p>
    <w:p>
      <w:pPr>
        <w:adjustRightInd w:val="0"/>
        <w:snapToGrid w:val="0"/>
        <w:spacing w:line="400" w:lineRule="exac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1.1采购清单</w:t>
      </w:r>
    </w:p>
    <w:tbl>
      <w:tblPr>
        <w:tblStyle w:val="42"/>
        <w:tblW w:w="8848" w:type="dxa"/>
        <w:tblInd w:w="0" w:type="dxa"/>
        <w:tblLayout w:type="autofit"/>
        <w:tblCellMar>
          <w:top w:w="15" w:type="dxa"/>
          <w:left w:w="15" w:type="dxa"/>
          <w:bottom w:w="15" w:type="dxa"/>
          <w:right w:w="15" w:type="dxa"/>
        </w:tblCellMar>
      </w:tblPr>
      <w:tblGrid>
        <w:gridCol w:w="1276"/>
        <w:gridCol w:w="1262"/>
        <w:gridCol w:w="1262"/>
        <w:gridCol w:w="1262"/>
        <w:gridCol w:w="1262"/>
        <w:gridCol w:w="1262"/>
        <w:gridCol w:w="1262"/>
      </w:tblGrid>
      <w:tr>
        <w:tblPrEx>
          <w:tblCellMar>
            <w:top w:w="15" w:type="dxa"/>
            <w:left w:w="15" w:type="dxa"/>
            <w:bottom w:w="15" w:type="dxa"/>
            <w:right w:w="15" w:type="dxa"/>
          </w:tblCellMar>
        </w:tblPrEx>
        <w:trPr>
          <w:tblHeader/>
        </w:trPr>
        <w:tc>
          <w:tcPr>
            <w:tcW w:w="12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adjustRightInd w:val="0"/>
              <w:snapToGrid w:val="0"/>
              <w:spacing w:line="400" w:lineRule="exact"/>
              <w:jc w:val="center"/>
              <w:rPr>
                <w:rFonts w:ascii="仿宋" w:hAnsi="仿宋" w:eastAsia="仿宋" w:cs="仿宋"/>
                <w:b/>
                <w:sz w:val="24"/>
                <w:highlight w:val="none"/>
                <w:shd w:val="clear" w:color="auto" w:fill="auto"/>
              </w:rPr>
            </w:pPr>
            <w:r>
              <w:rPr>
                <w:rFonts w:hint="eastAsia" w:ascii="仿宋" w:hAnsi="仿宋" w:eastAsia="仿宋" w:cs="仿宋"/>
                <w:b/>
                <w:kern w:val="0"/>
                <w:sz w:val="24"/>
                <w:highlight w:val="none"/>
                <w:shd w:val="clear" w:color="auto" w:fill="auto"/>
              </w:rPr>
              <w:t>名称</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adjustRightInd w:val="0"/>
              <w:snapToGrid w:val="0"/>
              <w:spacing w:line="400" w:lineRule="exact"/>
              <w:jc w:val="center"/>
              <w:rPr>
                <w:rFonts w:ascii="仿宋" w:hAnsi="仿宋" w:eastAsia="仿宋" w:cs="仿宋"/>
                <w:b/>
                <w:sz w:val="24"/>
                <w:highlight w:val="none"/>
                <w:shd w:val="clear" w:color="auto" w:fill="auto"/>
              </w:rPr>
            </w:pPr>
            <w:r>
              <w:rPr>
                <w:rFonts w:hint="eastAsia" w:ascii="仿宋" w:hAnsi="仿宋" w:eastAsia="仿宋" w:cs="仿宋"/>
                <w:b/>
                <w:kern w:val="0"/>
                <w:sz w:val="24"/>
                <w:highlight w:val="none"/>
                <w:shd w:val="clear" w:color="auto" w:fill="auto"/>
              </w:rPr>
              <w:t>牌号商标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adjustRightInd w:val="0"/>
              <w:snapToGrid w:val="0"/>
              <w:spacing w:line="400" w:lineRule="exact"/>
              <w:jc w:val="center"/>
              <w:rPr>
                <w:rFonts w:ascii="仿宋" w:hAnsi="仿宋" w:eastAsia="仿宋" w:cs="仿宋"/>
                <w:b/>
                <w:sz w:val="24"/>
                <w:highlight w:val="none"/>
                <w:shd w:val="clear" w:color="auto" w:fill="auto"/>
              </w:rPr>
            </w:pPr>
            <w:r>
              <w:rPr>
                <w:rFonts w:hint="eastAsia" w:ascii="仿宋" w:hAnsi="仿宋" w:eastAsia="仿宋" w:cs="仿宋"/>
                <w:b/>
                <w:kern w:val="0"/>
                <w:sz w:val="24"/>
                <w:highlight w:val="none"/>
                <w:shd w:val="clear" w:color="auto" w:fill="auto"/>
              </w:rPr>
              <w:t>生产厂家</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adjustRightInd w:val="0"/>
              <w:snapToGrid w:val="0"/>
              <w:spacing w:line="400" w:lineRule="exact"/>
              <w:jc w:val="center"/>
              <w:rPr>
                <w:rFonts w:ascii="仿宋" w:hAnsi="仿宋" w:eastAsia="仿宋" w:cs="仿宋"/>
                <w:b/>
                <w:sz w:val="24"/>
                <w:highlight w:val="none"/>
                <w:shd w:val="clear" w:color="auto" w:fill="auto"/>
              </w:rPr>
            </w:pPr>
            <w:r>
              <w:rPr>
                <w:rFonts w:hint="eastAsia" w:ascii="仿宋" w:hAnsi="仿宋" w:eastAsia="仿宋" w:cs="仿宋"/>
                <w:b/>
                <w:kern w:val="0"/>
                <w:sz w:val="24"/>
                <w:highlight w:val="none"/>
                <w:shd w:val="clear" w:color="auto" w:fill="auto"/>
              </w:rPr>
              <w:t>规格型号</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adjustRightInd w:val="0"/>
              <w:snapToGrid w:val="0"/>
              <w:spacing w:line="400" w:lineRule="exact"/>
              <w:jc w:val="center"/>
              <w:rPr>
                <w:rFonts w:ascii="仿宋" w:hAnsi="仿宋" w:eastAsia="仿宋" w:cs="仿宋"/>
                <w:b/>
                <w:sz w:val="24"/>
                <w:highlight w:val="none"/>
                <w:shd w:val="clear" w:color="auto" w:fill="auto"/>
              </w:rPr>
            </w:pPr>
            <w:r>
              <w:rPr>
                <w:rFonts w:hint="eastAsia" w:ascii="仿宋" w:hAnsi="仿宋" w:eastAsia="仿宋" w:cs="仿宋"/>
                <w:b/>
                <w:kern w:val="0"/>
                <w:sz w:val="24"/>
                <w:highlight w:val="none"/>
                <w:shd w:val="clear" w:color="auto" w:fill="auto"/>
              </w:rPr>
              <w:t>计量单位</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adjustRightInd w:val="0"/>
              <w:snapToGrid w:val="0"/>
              <w:spacing w:line="400" w:lineRule="exact"/>
              <w:jc w:val="center"/>
              <w:rPr>
                <w:rFonts w:ascii="仿宋" w:hAnsi="仿宋" w:eastAsia="仿宋" w:cs="仿宋"/>
                <w:b/>
                <w:sz w:val="24"/>
                <w:highlight w:val="none"/>
                <w:shd w:val="clear" w:color="auto" w:fill="auto"/>
              </w:rPr>
            </w:pPr>
            <w:r>
              <w:rPr>
                <w:rFonts w:hint="eastAsia" w:ascii="仿宋" w:hAnsi="仿宋" w:eastAsia="仿宋" w:cs="仿宋"/>
                <w:b/>
                <w:kern w:val="0"/>
                <w:sz w:val="24"/>
                <w:highlight w:val="none"/>
                <w:shd w:val="clear" w:color="auto" w:fill="auto"/>
              </w:rPr>
              <w:t>数量</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adjustRightInd w:val="0"/>
              <w:snapToGrid w:val="0"/>
              <w:spacing w:line="400" w:lineRule="exact"/>
              <w:jc w:val="center"/>
              <w:rPr>
                <w:rFonts w:ascii="仿宋" w:hAnsi="仿宋" w:eastAsia="仿宋" w:cs="仿宋"/>
                <w:b/>
                <w:sz w:val="24"/>
                <w:highlight w:val="none"/>
                <w:shd w:val="clear" w:color="auto" w:fill="auto"/>
              </w:rPr>
            </w:pPr>
            <w:r>
              <w:rPr>
                <w:rFonts w:hint="eastAsia" w:ascii="仿宋" w:hAnsi="仿宋" w:eastAsia="仿宋" w:cs="仿宋"/>
                <w:b/>
                <w:kern w:val="0"/>
                <w:sz w:val="24"/>
                <w:highlight w:val="none"/>
                <w:shd w:val="clear" w:color="auto" w:fill="auto"/>
              </w:rPr>
              <w:t>单价（元）</w:t>
            </w:r>
          </w:p>
        </w:tc>
      </w:tr>
      <w:tr>
        <w:tblPrEx>
          <w:tblCellMar>
            <w:top w:w="15" w:type="dxa"/>
            <w:left w:w="15" w:type="dxa"/>
            <w:bottom w:w="15" w:type="dxa"/>
            <w:right w:w="15" w:type="dxa"/>
          </w:tblCellMar>
        </w:tblPrEx>
        <w:tc>
          <w:tcPr>
            <w:tcW w:w="12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电视机</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r>
              <w:rPr>
                <w:rFonts w:hint="eastAsia" w:ascii="仿宋" w:hAnsi="仿宋" w:eastAsia="仿宋" w:cs="仿宋"/>
                <w:kern w:val="0"/>
                <w:sz w:val="24"/>
                <w:highlight w:val="none"/>
                <w:shd w:val="clear" w:color="auto" w:fill="auto"/>
              </w:rPr>
              <w:t>  </w:t>
            </w: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r>
      <w:tr>
        <w:tblPrEx>
          <w:tblCellMar>
            <w:top w:w="15" w:type="dxa"/>
            <w:left w:w="15" w:type="dxa"/>
            <w:bottom w:w="15" w:type="dxa"/>
            <w:right w:w="15" w:type="dxa"/>
          </w:tblCellMar>
        </w:tblPrEx>
        <w:tc>
          <w:tcPr>
            <w:tcW w:w="127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c>
          <w:tcPr>
            <w:tcW w:w="1262"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jc w:val="left"/>
              <w:rPr>
                <w:rFonts w:ascii="仿宋" w:hAnsi="仿宋" w:eastAsia="仿宋" w:cs="仿宋"/>
                <w:sz w:val="24"/>
                <w:highlight w:val="none"/>
                <w:shd w:val="clear" w:color="auto" w:fill="auto"/>
              </w:rPr>
            </w:pPr>
          </w:p>
        </w:tc>
      </w:tr>
      <w:tr>
        <w:tblPrEx>
          <w:tblCellMar>
            <w:top w:w="15" w:type="dxa"/>
            <w:left w:w="15" w:type="dxa"/>
            <w:bottom w:w="15" w:type="dxa"/>
            <w:right w:w="15" w:type="dxa"/>
          </w:tblCellMar>
        </w:tblPrEx>
        <w:tc>
          <w:tcPr>
            <w:tcW w:w="8848"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hint="eastAsia" w:ascii="仿宋" w:hAnsi="仿宋" w:eastAsia="仿宋" w:cs="仿宋"/>
                <w:b/>
                <w:bCs/>
                <w:highlight w:val="none"/>
                <w:u w:val="single"/>
                <w:shd w:val="clear" w:color="auto" w:fill="auto"/>
              </w:rPr>
              <w:t>备注：</w:t>
            </w:r>
            <w:r>
              <w:rPr>
                <w:rFonts w:hint="eastAsia" w:ascii="仿宋" w:hAnsi="仿宋" w:eastAsia="仿宋" w:cs="仿宋"/>
                <w:highlight w:val="none"/>
                <w:u w:val="single"/>
                <w:shd w:val="clear" w:color="auto" w:fill="auto"/>
              </w:rPr>
              <w:t>也可根据实际情况另附采购清单，作为本合同附件（详见附件一）。</w:t>
            </w:r>
          </w:p>
        </w:tc>
      </w:tr>
    </w:tbl>
    <w:p>
      <w:pPr>
        <w:pStyle w:val="37"/>
        <w:wordWrap w:val="0"/>
        <w:adjustRightInd w:val="0"/>
        <w:snapToGrid w:val="0"/>
        <w:spacing w:beforeAutospacing="0" w:afterAutospacing="0" w:line="400" w:lineRule="exact"/>
        <w:ind w:firstLine="480" w:firstLineChars="200"/>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1.2合同价格形式,按以下第</w:t>
      </w:r>
      <w:r>
        <w:rPr>
          <w:rFonts w:hint="eastAsia" w:ascii="仿宋" w:hAnsi="仿宋" w:eastAsia="仿宋" w:cs="仿宋"/>
          <w:highlight w:val="none"/>
          <w:u w:val="single"/>
          <w:shd w:val="clear" w:color="auto" w:fill="auto"/>
        </w:rPr>
        <w:t>（1）</w:t>
      </w:r>
      <w:r>
        <w:rPr>
          <w:rFonts w:hint="eastAsia" w:ascii="仿宋" w:hAnsi="仿宋" w:eastAsia="仿宋" w:cs="仿宋"/>
          <w:highlight w:val="none"/>
          <w:shd w:val="clear" w:color="auto" w:fill="auto"/>
        </w:rPr>
        <w:t>项执行：</w:t>
      </w:r>
    </w:p>
    <w:p>
      <w:pPr>
        <w:pStyle w:val="37"/>
        <w:wordWrap w:val="0"/>
        <w:adjustRightInd w:val="0"/>
        <w:snapToGrid w:val="0"/>
        <w:spacing w:beforeAutospacing="0" w:afterAutospacing="0" w:line="400" w:lineRule="exact"/>
        <w:ind w:firstLine="480" w:firstLineChars="200"/>
        <w:jc w:val="both"/>
        <w:rPr>
          <w:rFonts w:ascii="仿宋" w:hAnsi="仿宋" w:eastAsia="仿宋" w:cs="仿宋"/>
          <w:highlight w:val="none"/>
          <w:u w:val="single"/>
          <w:shd w:val="clear" w:color="auto" w:fill="auto"/>
        </w:rPr>
      </w:pPr>
      <w:r>
        <w:rPr>
          <w:rFonts w:hint="eastAsia" w:ascii="仿宋" w:hAnsi="仿宋" w:eastAsia="仿宋" w:cs="仿宋"/>
          <w:highlight w:val="none"/>
          <w:shd w:val="clear" w:color="auto" w:fill="auto"/>
        </w:rPr>
        <w:t>（1）固定总价。合同总价（含税）：</w:t>
      </w:r>
      <w:r>
        <w:rPr>
          <w:rFonts w:hint="eastAsia" w:ascii="仿宋" w:hAnsi="仿宋" w:eastAsia="仿宋" w:cs="仿宋"/>
          <w:highlight w:val="none"/>
          <w:u w:val="single"/>
          <w:shd w:val="clear" w:color="auto" w:fill="auto"/>
        </w:rPr>
        <w:t>人民币大写        元（¥        元），不含税价格¥       元。</w:t>
      </w:r>
      <w:r>
        <w:rPr>
          <w:rFonts w:hint="eastAsia" w:ascii="仿宋" w:hAnsi="仿宋" w:eastAsia="仿宋" w:cs="仿宋"/>
          <w:highlight w:val="none"/>
          <w:shd w:val="clear" w:color="auto" w:fill="auto"/>
        </w:rPr>
        <w:t>合同总价已包括货款、包装费、运输费、保险费、装卸费、安装调试费、培训费、维护维修费、应纳税费、相关担保费用等。除非本合同明确约定采取单价结算方式，合同总价为最高价格，不因任何原因而增加。若电视机数量出现变化时，按合同约定的单价据实结算。</w:t>
      </w:r>
    </w:p>
    <w:p>
      <w:pPr>
        <w:pStyle w:val="37"/>
        <w:wordWrap w:val="0"/>
        <w:adjustRightInd w:val="0"/>
        <w:snapToGrid w:val="0"/>
        <w:spacing w:beforeAutospacing="0" w:afterAutospacing="0" w:line="400" w:lineRule="exact"/>
        <w:ind w:firstLine="480" w:firstLineChars="200"/>
        <w:jc w:val="both"/>
        <w:rPr>
          <w:rFonts w:ascii="仿宋" w:hAnsi="仿宋" w:eastAsia="仿宋" w:cs="仿宋"/>
          <w:highlight w:val="none"/>
          <w:u w:val="single"/>
          <w:shd w:val="clear" w:color="auto" w:fill="auto"/>
        </w:rPr>
      </w:pPr>
      <w:r>
        <w:rPr>
          <w:rFonts w:hint="eastAsia" w:ascii="仿宋" w:hAnsi="仿宋" w:eastAsia="仿宋" w:cs="仿宋"/>
          <w:highlight w:val="none"/>
          <w:shd w:val="clear" w:color="auto" w:fill="auto"/>
        </w:rPr>
        <w:t>（2）</w:t>
      </w:r>
      <w:r>
        <w:rPr>
          <w:rFonts w:hint="eastAsia" w:ascii="仿宋" w:hAnsi="仿宋" w:eastAsia="仿宋" w:cs="仿宋"/>
          <w:highlight w:val="none"/>
          <w:u w:val="single"/>
          <w:shd w:val="clear" w:color="auto" w:fill="auto"/>
        </w:rPr>
        <w:t>固定单价，根据收货盘点据实结算。合同暂估价（含税）：人民币大写        元（¥        元），不含税价格¥       元。合同期限为  年  月  日至   年   月   日。单价采购清单或相关清单中未列明的为合格完成本合同所需的事项/费用等据其属性已包含在或均分至已列明项目中，乙方不再主张清单外费用。</w:t>
      </w:r>
    </w:p>
    <w:p>
      <w:pPr>
        <w:pStyle w:val="37"/>
        <w:wordWrap w:val="0"/>
        <w:adjustRightInd w:val="0"/>
        <w:snapToGrid w:val="0"/>
        <w:spacing w:beforeAutospacing="0" w:afterAutospacing="0" w:line="400" w:lineRule="exact"/>
        <w:ind w:firstLine="480" w:firstLineChars="200"/>
        <w:rPr>
          <w:rFonts w:ascii="仿宋" w:hAnsi="仿宋" w:eastAsia="仿宋" w:cs="仿宋"/>
          <w:highlight w:val="none"/>
          <w:u w:val="single"/>
          <w:shd w:val="clear" w:color="auto" w:fill="auto"/>
        </w:rPr>
      </w:pPr>
      <w:r>
        <w:rPr>
          <w:rFonts w:hint="eastAsia" w:ascii="仿宋" w:hAnsi="仿宋" w:eastAsia="仿宋" w:cs="仿宋"/>
          <w:highlight w:val="none"/>
          <w:u w:val="single"/>
          <w:shd w:val="clear" w:color="auto" w:fill="auto"/>
        </w:rPr>
        <w:t>（3）其他： / 。</w:t>
      </w:r>
    </w:p>
    <w:p>
      <w:pPr>
        <w:pStyle w:val="37"/>
        <w:wordWrap w:val="0"/>
        <w:adjustRightInd w:val="0"/>
        <w:snapToGrid w:val="0"/>
        <w:spacing w:beforeAutospacing="0" w:afterAutospacing="0" w:line="400" w:lineRule="exact"/>
        <w:ind w:firstLine="480" w:firstLineChars="200"/>
        <w:jc w:val="both"/>
        <w:rPr>
          <w:rFonts w:ascii="仿宋" w:hAnsi="仿宋" w:eastAsia="仿宋" w:cs="仿宋"/>
          <w:highlight w:val="none"/>
          <w:u w:val="single"/>
          <w:shd w:val="clear" w:color="auto" w:fill="auto"/>
        </w:rPr>
      </w:pPr>
      <w:r>
        <w:rPr>
          <w:rFonts w:hint="eastAsia" w:ascii="仿宋" w:hAnsi="仿宋" w:eastAsia="仿宋" w:cs="仿宋"/>
          <w:highlight w:val="none"/>
          <w:shd w:val="clear" w:color="auto" w:fill="auto"/>
        </w:rPr>
        <w:t>1.3税率及发票。</w:t>
      </w:r>
      <w:r>
        <w:rPr>
          <w:rFonts w:hint="eastAsia" w:ascii="仿宋" w:hAnsi="仿宋" w:eastAsia="仿宋" w:cs="仿宋"/>
          <w:highlight w:val="none"/>
          <w:u w:val="single"/>
          <w:shd w:val="clear" w:color="auto" w:fill="auto"/>
        </w:rPr>
        <w:t>税率：【  】%，发票类型：【增值税专用】发票。合同履行过程中如遇国家财税政策变化的：合同价款中已开据发票且已付款部分，按原税率结算；未开据发票或未付款的部分，按新税率调整合同税款并开具增值税专用发票，合同价=不含税价+税款，合同价以不含税价为基础，税款随税率发生变化；无税价则按本合同约定不变。</w:t>
      </w:r>
    </w:p>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2.交货、运输、检验</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2.1 交货/履行时间 </w:t>
      </w:r>
    </w:p>
    <w:tbl>
      <w:tblPr>
        <w:tblStyle w:val="42"/>
        <w:tblW w:w="8305" w:type="dxa"/>
        <w:tblInd w:w="0" w:type="dxa"/>
        <w:tblLayout w:type="autofit"/>
        <w:tblCellMar>
          <w:top w:w="15" w:type="dxa"/>
          <w:left w:w="15" w:type="dxa"/>
          <w:bottom w:w="15" w:type="dxa"/>
          <w:right w:w="15" w:type="dxa"/>
        </w:tblCellMar>
      </w:tblPr>
      <w:tblGrid>
        <w:gridCol w:w="2083"/>
        <w:gridCol w:w="2074"/>
        <w:gridCol w:w="2074"/>
        <w:gridCol w:w="2074"/>
      </w:tblGrid>
      <w:tr>
        <w:tblPrEx>
          <w:tblCellMar>
            <w:top w:w="15" w:type="dxa"/>
            <w:left w:w="15" w:type="dxa"/>
            <w:bottom w:w="15" w:type="dxa"/>
            <w:right w:w="15" w:type="dxa"/>
          </w:tblCellMar>
        </w:tblPrEx>
        <w:trPr>
          <w:trHeight w:val="200" w:hRule="atLeast"/>
          <w:tblHeader/>
        </w:trPr>
        <w:tc>
          <w:tcPr>
            <w:tcW w:w="2083"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jc w:val="center"/>
              <w:rPr>
                <w:rFonts w:ascii="仿宋" w:hAnsi="仿宋" w:eastAsia="仿宋" w:cs="仿宋"/>
                <w:highlight w:val="none"/>
                <w:shd w:val="clear" w:color="auto" w:fill="auto"/>
              </w:rPr>
            </w:pPr>
            <w:r>
              <w:rPr>
                <w:rFonts w:hint="eastAsia" w:ascii="仿宋" w:hAnsi="仿宋" w:eastAsia="仿宋" w:cs="仿宋"/>
                <w:b/>
                <w:highlight w:val="none"/>
                <w:shd w:val="clear" w:color="auto" w:fill="auto"/>
              </w:rPr>
              <w:t>交货/履行时间</w:t>
            </w: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jc w:val="center"/>
              <w:rPr>
                <w:rFonts w:ascii="仿宋" w:hAnsi="仿宋" w:eastAsia="仿宋" w:cs="仿宋"/>
                <w:highlight w:val="none"/>
                <w:shd w:val="clear" w:color="auto" w:fill="auto"/>
              </w:rPr>
            </w:pPr>
            <w:r>
              <w:rPr>
                <w:rFonts w:hint="eastAsia" w:ascii="仿宋" w:hAnsi="仿宋" w:eastAsia="仿宋" w:cs="仿宋"/>
                <w:b/>
                <w:highlight w:val="none"/>
                <w:shd w:val="clear" w:color="auto" w:fill="auto"/>
              </w:rPr>
              <w:t>交货地点/履行事项</w:t>
            </w: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jc w:val="center"/>
              <w:rPr>
                <w:rFonts w:ascii="仿宋" w:hAnsi="仿宋" w:eastAsia="仿宋" w:cs="仿宋"/>
                <w:highlight w:val="none"/>
                <w:shd w:val="clear" w:color="auto" w:fill="auto"/>
              </w:rPr>
            </w:pPr>
            <w:r>
              <w:rPr>
                <w:rFonts w:hint="eastAsia" w:ascii="仿宋" w:hAnsi="仿宋" w:eastAsia="仿宋" w:cs="仿宋"/>
                <w:b/>
                <w:highlight w:val="none"/>
                <w:shd w:val="clear" w:color="auto" w:fill="auto"/>
              </w:rPr>
              <w:t>交货数量</w:t>
            </w: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jc w:val="center"/>
              <w:rPr>
                <w:rFonts w:ascii="仿宋" w:hAnsi="仿宋" w:eastAsia="仿宋" w:cs="仿宋"/>
                <w:b/>
                <w:highlight w:val="none"/>
                <w:shd w:val="clear" w:color="auto" w:fill="auto"/>
              </w:rPr>
            </w:pPr>
            <w:r>
              <w:rPr>
                <w:rFonts w:hint="eastAsia" w:ascii="仿宋" w:hAnsi="仿宋" w:eastAsia="仿宋" w:cs="仿宋"/>
                <w:b/>
                <w:highlight w:val="none"/>
                <w:shd w:val="clear" w:color="auto" w:fill="auto"/>
              </w:rPr>
              <w:t>备注</w:t>
            </w:r>
          </w:p>
        </w:tc>
      </w:tr>
      <w:tr>
        <w:tblPrEx>
          <w:tblCellMar>
            <w:top w:w="15" w:type="dxa"/>
            <w:left w:w="15" w:type="dxa"/>
            <w:bottom w:w="15" w:type="dxa"/>
            <w:right w:w="15" w:type="dxa"/>
          </w:tblCellMar>
        </w:tblPrEx>
        <w:trPr>
          <w:trHeight w:val="158" w:hRule="atLeast"/>
        </w:trPr>
        <w:tc>
          <w:tcPr>
            <w:tcW w:w="2083"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ind w:firstLine="480" w:firstLineChars="200"/>
              <w:jc w:val="left"/>
              <w:rPr>
                <w:rFonts w:ascii="仿宋" w:hAnsi="仿宋" w:eastAsia="仿宋" w:cs="仿宋"/>
                <w:sz w:val="24"/>
                <w:highlight w:val="none"/>
                <w:shd w:val="clear" w:color="auto" w:fill="auto"/>
              </w:rPr>
            </w:pP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ind w:firstLine="480" w:firstLineChars="200"/>
              <w:jc w:val="left"/>
              <w:rPr>
                <w:rFonts w:ascii="仿宋" w:hAnsi="仿宋" w:eastAsia="仿宋" w:cs="仿宋"/>
                <w:sz w:val="24"/>
                <w:highlight w:val="none"/>
                <w:shd w:val="clear" w:color="auto" w:fill="auto"/>
              </w:rPr>
            </w:pP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ind w:firstLine="480" w:firstLineChars="200"/>
              <w:jc w:val="left"/>
              <w:rPr>
                <w:rFonts w:ascii="仿宋" w:hAnsi="仿宋" w:eastAsia="仿宋" w:cs="仿宋"/>
                <w:sz w:val="24"/>
                <w:highlight w:val="none"/>
                <w:shd w:val="clear" w:color="auto" w:fill="auto"/>
              </w:rPr>
            </w:pP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ind w:firstLine="480" w:firstLineChars="200"/>
              <w:jc w:val="left"/>
              <w:rPr>
                <w:rFonts w:ascii="仿宋" w:hAnsi="仿宋" w:eastAsia="仿宋" w:cs="仿宋"/>
                <w:sz w:val="24"/>
                <w:highlight w:val="none"/>
                <w:shd w:val="clear" w:color="auto" w:fill="auto"/>
              </w:rPr>
            </w:pPr>
          </w:p>
        </w:tc>
      </w:tr>
      <w:tr>
        <w:tblPrEx>
          <w:tblCellMar>
            <w:top w:w="15" w:type="dxa"/>
            <w:left w:w="15" w:type="dxa"/>
            <w:bottom w:w="15" w:type="dxa"/>
            <w:right w:w="15" w:type="dxa"/>
          </w:tblCellMar>
        </w:tblPrEx>
        <w:trPr>
          <w:trHeight w:val="165" w:hRule="atLeast"/>
        </w:trPr>
        <w:tc>
          <w:tcPr>
            <w:tcW w:w="2083"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ind w:firstLine="480" w:firstLineChars="200"/>
              <w:jc w:val="left"/>
              <w:rPr>
                <w:rFonts w:ascii="仿宋" w:hAnsi="仿宋" w:eastAsia="仿宋" w:cs="仿宋"/>
                <w:sz w:val="24"/>
                <w:highlight w:val="none"/>
                <w:shd w:val="clear" w:color="auto" w:fill="auto"/>
              </w:rPr>
            </w:pP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ind w:firstLine="480" w:firstLineChars="200"/>
              <w:jc w:val="left"/>
              <w:rPr>
                <w:rFonts w:ascii="仿宋" w:hAnsi="仿宋" w:eastAsia="仿宋" w:cs="仿宋"/>
                <w:sz w:val="24"/>
                <w:highlight w:val="none"/>
                <w:shd w:val="clear" w:color="auto" w:fill="auto"/>
              </w:rPr>
            </w:pP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ind w:firstLine="480" w:firstLineChars="200"/>
              <w:jc w:val="left"/>
              <w:rPr>
                <w:rFonts w:ascii="仿宋" w:hAnsi="仿宋" w:eastAsia="仿宋" w:cs="仿宋"/>
                <w:sz w:val="24"/>
                <w:highlight w:val="none"/>
                <w:shd w:val="clear" w:color="auto" w:fill="auto"/>
              </w:rPr>
            </w:pPr>
          </w:p>
        </w:tc>
        <w:tc>
          <w:tcPr>
            <w:tcW w:w="207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widowControl/>
              <w:wordWrap w:val="0"/>
              <w:adjustRightInd w:val="0"/>
              <w:snapToGrid w:val="0"/>
              <w:spacing w:line="400" w:lineRule="exact"/>
              <w:ind w:firstLine="480" w:firstLineChars="200"/>
              <w:jc w:val="left"/>
              <w:rPr>
                <w:rFonts w:ascii="仿宋" w:hAnsi="仿宋" w:eastAsia="仿宋" w:cs="仿宋"/>
                <w:sz w:val="24"/>
                <w:highlight w:val="none"/>
                <w:shd w:val="clear" w:color="auto" w:fill="auto"/>
              </w:rPr>
            </w:pPr>
          </w:p>
        </w:tc>
      </w:tr>
    </w:tbl>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2.2 交货方式：</w:t>
      </w:r>
      <w:r>
        <w:rPr>
          <w:rFonts w:hint="eastAsia" w:ascii="仿宋" w:hAnsi="仿宋" w:eastAsia="仿宋" w:cs="仿宋"/>
          <w:highlight w:val="none"/>
          <w:u w:val="single"/>
          <w:shd w:val="clear" w:color="auto" w:fill="auto"/>
        </w:rPr>
        <w:t> 乙方送货至交货地点。  </w:t>
      </w:r>
    </w:p>
    <w:p>
      <w:pPr>
        <w:pStyle w:val="37"/>
        <w:adjustRightInd w:val="0"/>
        <w:snapToGrid w:val="0"/>
        <w:spacing w:beforeAutospacing="0" w:afterAutospacing="0" w:line="400" w:lineRule="exact"/>
        <w:ind w:firstLine="480" w:firstLineChars="200"/>
        <w:rPr>
          <w:rFonts w:ascii="仿宋" w:hAnsi="仿宋" w:eastAsia="仿宋" w:cs="仿宋"/>
          <w:highlight w:val="none"/>
          <w:u w:val="single"/>
          <w:shd w:val="clear" w:color="auto" w:fill="auto"/>
        </w:rPr>
      </w:pPr>
      <w:r>
        <w:rPr>
          <w:rFonts w:hint="eastAsia" w:ascii="仿宋" w:hAnsi="仿宋" w:eastAsia="仿宋" w:cs="仿宋"/>
          <w:highlight w:val="none"/>
          <w:shd w:val="clear" w:color="auto" w:fill="auto"/>
        </w:rPr>
        <w:t>2.3包装与运输：</w:t>
      </w:r>
      <w:r>
        <w:rPr>
          <w:rFonts w:hint="eastAsia" w:ascii="仿宋" w:hAnsi="仿宋" w:eastAsia="仿宋" w:cs="仿宋"/>
          <w:highlight w:val="none"/>
          <w:u w:val="single"/>
          <w:shd w:val="clear" w:color="auto" w:fill="auto"/>
        </w:rPr>
        <w:t> 乙方负责根据货物性质进行包装和运输、装卸，费用已包含在本合同价款中。 </w:t>
      </w:r>
    </w:p>
    <w:p>
      <w:pPr>
        <w:pStyle w:val="37"/>
        <w:adjustRightInd w:val="0"/>
        <w:snapToGrid w:val="0"/>
        <w:spacing w:beforeAutospacing="0" w:afterAutospacing="0" w:line="400" w:lineRule="exact"/>
        <w:ind w:firstLine="480" w:firstLineChars="200"/>
        <w:rPr>
          <w:rFonts w:ascii="仿宋" w:hAnsi="仿宋" w:eastAsia="仿宋" w:cs="仿宋"/>
          <w:highlight w:val="none"/>
          <w:u w:val="single"/>
          <w:shd w:val="clear" w:color="auto" w:fill="auto"/>
        </w:rPr>
      </w:pPr>
      <w:r>
        <w:rPr>
          <w:rFonts w:hint="eastAsia" w:ascii="仿宋" w:hAnsi="仿宋" w:eastAsia="仿宋" w:cs="仿宋"/>
          <w:highlight w:val="none"/>
          <w:u w:val="single"/>
          <w:shd w:val="clear" w:color="auto" w:fill="auto"/>
        </w:rPr>
        <w:t>发货前，乙方应对货物的质量、规格、性能、数量等进行准确而全面的检验，并出具包含以上内容的出货单。该出货单应作为提交付款单据的一部分，但有关货物的质量、规格、性能、数量的检验不视为最终检验。</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2.4 到货检验时间与地点：</w:t>
      </w:r>
      <w:r>
        <w:rPr>
          <w:rFonts w:hint="eastAsia" w:ascii="仿宋" w:hAnsi="仿宋" w:eastAsia="仿宋" w:cs="仿宋"/>
          <w:highlight w:val="none"/>
          <w:u w:val="single"/>
          <w:shd w:val="clear" w:color="auto" w:fill="auto"/>
        </w:rPr>
        <w:t> 同交货时间、地点，到货后对采购物品数量、外观进行初步检验，该检验不代表最终验收、交付，乙方应对货物数量、质量、规格型号等完全负责并承担全部风险。</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2.5 最终验收时间与地点：</w:t>
      </w:r>
      <w:r>
        <w:rPr>
          <w:rFonts w:hint="eastAsia" w:ascii="仿宋" w:hAnsi="仿宋" w:eastAsia="仿宋" w:cs="仿宋"/>
          <w:highlight w:val="none"/>
          <w:u w:val="single"/>
          <w:shd w:val="clear" w:color="auto" w:fill="auto"/>
        </w:rPr>
        <w:t>到货后【  】日内于交货地进行最终验收。</w:t>
      </w:r>
      <w:r>
        <w:rPr>
          <w:rFonts w:hint="eastAsia" w:ascii="仿宋" w:hAnsi="仿宋" w:eastAsia="仿宋" w:cs="仿宋"/>
          <w:highlight w:val="none"/>
          <w:shd w:val="clear" w:color="auto" w:fill="auto"/>
        </w:rPr>
        <w:t>货物的隐蔽瑕疵或者功能缺陷，甲方不受该期限限制，有权于发现时随时要求退换。</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2.6 允许的短溢范围与处理方式：</w:t>
      </w:r>
      <w:r>
        <w:rPr>
          <w:rFonts w:hint="eastAsia" w:ascii="仿宋" w:hAnsi="仿宋" w:eastAsia="仿宋" w:cs="仿宋"/>
          <w:highlight w:val="none"/>
          <w:u w:val="single"/>
          <w:shd w:val="clear" w:color="auto" w:fill="auto"/>
        </w:rPr>
        <w:t>总数量±1％内据实结算，超出部分甲方可拒收，若乙方未在3日内取回则视为乙方免费赠送，少于部分应于1日内补齐</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2.7 </w:t>
      </w:r>
      <w:r>
        <w:rPr>
          <w:rFonts w:hint="eastAsia" w:ascii="仿宋" w:hAnsi="仿宋" w:eastAsia="仿宋" w:cs="仿宋"/>
          <w:highlight w:val="none"/>
          <w:u w:val="single"/>
          <w:shd w:val="clear" w:color="auto" w:fill="auto"/>
        </w:rPr>
        <w:t>到货、安装调试完毕并</w:t>
      </w:r>
      <w:r>
        <w:rPr>
          <w:rFonts w:hint="eastAsia" w:ascii="仿宋" w:hAnsi="仿宋" w:eastAsia="仿宋" w:cs="仿宋"/>
          <w:highlight w:val="none"/>
          <w:shd w:val="clear" w:color="auto" w:fill="auto"/>
        </w:rPr>
        <w:t>经甲方验收合格后视为交付，交付前的风险由乙方承担，交付后风险转移给甲方。</w:t>
      </w:r>
    </w:p>
    <w:p>
      <w:pPr>
        <w:pStyle w:val="37"/>
        <w:adjustRightInd w:val="0"/>
        <w:snapToGrid w:val="0"/>
        <w:spacing w:beforeAutospacing="0" w:afterAutospacing="0" w:line="400" w:lineRule="exact"/>
        <w:ind w:firstLine="480" w:firstLineChars="200"/>
        <w:rPr>
          <w:rFonts w:ascii="仿宋" w:hAnsi="仿宋" w:eastAsia="仿宋" w:cs="仿宋"/>
          <w:highlight w:val="none"/>
          <w:u w:val="single"/>
          <w:shd w:val="clear" w:color="auto" w:fill="auto"/>
        </w:rPr>
      </w:pPr>
      <w:r>
        <w:rPr>
          <w:rFonts w:hint="eastAsia" w:ascii="仿宋" w:hAnsi="仿宋" w:eastAsia="仿宋" w:cs="仿宋"/>
          <w:highlight w:val="none"/>
          <w:u w:val="single"/>
          <w:shd w:val="clear" w:color="auto" w:fill="auto"/>
        </w:rPr>
        <w:t xml:space="preserve">2.8样品：  /         </w:t>
      </w:r>
    </w:p>
    <w:p>
      <w:pPr>
        <w:pStyle w:val="37"/>
        <w:adjustRightInd w:val="0"/>
        <w:snapToGrid w:val="0"/>
        <w:spacing w:beforeAutospacing="0" w:afterAutospacing="0" w:line="400" w:lineRule="exact"/>
        <w:ind w:firstLine="480" w:firstLineChars="200"/>
        <w:rPr>
          <w:rFonts w:ascii="仿宋" w:hAnsi="仿宋" w:eastAsia="仿宋" w:cs="仿宋"/>
          <w:highlight w:val="none"/>
          <w:u w:val="single"/>
          <w:shd w:val="clear" w:color="auto" w:fill="auto"/>
        </w:rPr>
      </w:pPr>
      <w:r>
        <w:rPr>
          <w:rFonts w:hint="eastAsia" w:ascii="仿宋" w:hAnsi="仿宋" w:eastAsia="仿宋" w:cs="仿宋"/>
          <w:highlight w:val="none"/>
          <w:u w:val="single"/>
          <w:shd w:val="clear" w:color="auto" w:fill="auto"/>
        </w:rPr>
        <w:t>2.9其他： /         </w:t>
      </w:r>
    </w:p>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3.质量要求与保证</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3.1 质量要求</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u w:val="single"/>
          <w:shd w:val="clear" w:color="auto" w:fill="auto"/>
        </w:rPr>
        <w:t>（1）乙方保证提供给甲方的产品是全新的、技术是先进的、质量是良好的、性能是稳定可靠的、数量是完整无缺的，乙方提供的物品及服务不会侵犯任何第三方的权利，否则应承担甲方因此遭受的损失和支出的费用。</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3.2 质量保证期：</w:t>
      </w:r>
      <w:r>
        <w:rPr>
          <w:rFonts w:ascii="仿宋" w:hAnsi="仿宋" w:eastAsia="仿宋" w:cs="仿宋"/>
          <w:highlight w:val="none"/>
          <w:u w:val="single"/>
          <w:shd w:val="clear" w:color="auto" w:fill="auto"/>
        </w:rPr>
        <w:t>采购物品自通过验收之日起，</w:t>
      </w:r>
      <w:r>
        <w:rPr>
          <w:rFonts w:hint="eastAsia" w:ascii="仿宋" w:hAnsi="仿宋" w:eastAsia="仿宋" w:cs="仿宋"/>
          <w:highlight w:val="none"/>
          <w:u w:val="single"/>
          <w:shd w:val="clear" w:color="auto" w:fill="auto"/>
        </w:rPr>
        <w:t>电视整机保修1年，主要零部件3年（主要包括显示屏、背光组件、逻辑组件、高频调谐器）</w:t>
      </w:r>
      <w:r>
        <w:rPr>
          <w:rFonts w:ascii="仿宋" w:hAnsi="仿宋" w:eastAsia="仿宋" w:cs="仿宋"/>
          <w:highlight w:val="none"/>
          <w:u w:val="single"/>
          <w:shd w:val="clear" w:color="auto" w:fill="auto"/>
        </w:rPr>
        <w:t>，终身维修服务。国家主管部门、行业标准或生产厂家对货物本身有更高要求的，从其规定。在质保期内如果存在质量问题，乙方负责上门免费维修、更换或根据甲方（或物业）要求退货。有关质量投诉，乙方应在24小时内给予回应并解决。</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甲方有权在自最终验收合格之日起</w:t>
      </w:r>
      <w:r>
        <w:rPr>
          <w:rFonts w:hint="eastAsia" w:ascii="仿宋" w:hAnsi="仿宋" w:eastAsia="仿宋" w:cs="仿宋"/>
          <w:highlight w:val="none"/>
          <w:u w:val="single"/>
          <w:shd w:val="clear" w:color="auto" w:fill="auto"/>
        </w:rPr>
        <w:t>30日</w:t>
      </w:r>
      <w:r>
        <w:rPr>
          <w:rFonts w:hint="eastAsia" w:ascii="仿宋" w:hAnsi="仿宋" w:eastAsia="仿宋" w:cs="仿宋"/>
          <w:highlight w:val="none"/>
          <w:shd w:val="clear" w:color="auto" w:fill="auto"/>
        </w:rPr>
        <w:t>内无条件要求乙方免费更换或退货，乙方应在接到甲方通知之日起</w:t>
      </w:r>
      <w:r>
        <w:rPr>
          <w:rFonts w:hint="eastAsia" w:ascii="仿宋" w:hAnsi="仿宋" w:eastAsia="仿宋" w:cs="仿宋"/>
          <w:highlight w:val="none"/>
          <w:u w:val="single"/>
          <w:shd w:val="clear" w:color="auto" w:fill="auto"/>
        </w:rPr>
        <w:t>30日</w:t>
      </w:r>
      <w:r>
        <w:rPr>
          <w:rFonts w:hint="eastAsia" w:ascii="仿宋" w:hAnsi="仿宋" w:eastAsia="仿宋" w:cs="仿宋"/>
          <w:highlight w:val="none"/>
          <w:shd w:val="clear" w:color="auto" w:fill="auto"/>
        </w:rPr>
        <w:t>内办妥更换或退货。</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3.3 </w:t>
      </w:r>
      <w:r>
        <w:rPr>
          <w:rFonts w:hint="eastAsia" w:ascii="仿宋" w:hAnsi="仿宋" w:eastAsia="仿宋" w:cs="仿宋"/>
          <w:highlight w:val="none"/>
          <w:u w:val="single"/>
          <w:shd w:val="clear" w:color="auto" w:fill="auto"/>
        </w:rPr>
        <w:t>当双方约定的质量标准、环保标准、质量保证期等约定不明或与签约时国家标准、地方标准、行业标准不同，或履约过程中国家标准、地方标准、行业标准发生变化而双方未另行约定的，则以标准（含非强制性标准）要求较高者为准</w:t>
      </w:r>
      <w:r>
        <w:rPr>
          <w:rFonts w:hint="eastAsia" w:ascii="仿宋" w:hAnsi="仿宋" w:eastAsia="仿宋" w:cs="仿宋"/>
          <w:highlight w:val="none"/>
          <w:shd w:val="clear" w:color="auto" w:fill="auto"/>
        </w:rPr>
        <w:t>。</w:t>
      </w:r>
    </w:p>
    <w:p>
      <w:pPr>
        <w:pStyle w:val="37"/>
        <w:adjustRightInd w:val="0"/>
        <w:snapToGrid w:val="0"/>
        <w:spacing w:beforeAutospacing="0" w:afterAutospacing="0" w:line="400" w:lineRule="exact"/>
        <w:ind w:firstLine="480" w:firstLineChars="200"/>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3.4 售后服务标准：</w:t>
      </w:r>
      <w:r>
        <w:rPr>
          <w:rFonts w:hint="eastAsia" w:ascii="仿宋" w:hAnsi="仿宋" w:eastAsia="仿宋" w:cs="仿宋"/>
          <w:highlight w:val="none"/>
          <w:u w:val="single"/>
          <w:shd w:val="clear" w:color="auto" w:fill="auto"/>
        </w:rPr>
        <w:t>在质量保证期内，如货物出现故障、问题，乙方应负责免费提供保修服务，对于在质保期内维修或更换的零部件应重新计算质保期；在质保期外，乙方为甲方提供有偿服务，维修的零部件按成本价计算，支持维护费按维护当时乙方的市场维护费计算。无论是否在质保期内，乙方均保证在1小时内响应，并在 3小时内解决问题，遇有严重技术问题、重大故障，需现场维护的，乙方应在24小时内到达甲方现场。乙方超过24小时不能完成修复的，甲方有权自行或委托第三方修复，所产生的费用及造成的损失由乙方承担。</w:t>
      </w:r>
      <w:r>
        <w:rPr>
          <w:rFonts w:hint="eastAsia" w:ascii="仿宋" w:hAnsi="仿宋" w:eastAsia="仿宋" w:cs="仿宋"/>
          <w:highlight w:val="none"/>
          <w:shd w:val="clear" w:color="auto" w:fill="auto"/>
        </w:rPr>
        <w:t xml:space="preserve">                            </w:t>
      </w:r>
    </w:p>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4.价款结算与支付</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4.1 付款计划</w:t>
      </w:r>
    </w:p>
    <w:tbl>
      <w:tblPr>
        <w:tblStyle w:val="42"/>
        <w:tblpPr w:leftFromText="180" w:rightFromText="180" w:vertAnchor="text" w:horzAnchor="page" w:tblpX="1856" w:tblpY="234"/>
        <w:tblOverlap w:val="never"/>
        <w:tblW w:w="8504" w:type="dxa"/>
        <w:tblInd w:w="0" w:type="dxa"/>
        <w:tblLayout w:type="autofit"/>
        <w:tblCellMar>
          <w:top w:w="15" w:type="dxa"/>
          <w:left w:w="15" w:type="dxa"/>
          <w:bottom w:w="15" w:type="dxa"/>
          <w:right w:w="15" w:type="dxa"/>
        </w:tblCellMar>
      </w:tblPr>
      <w:tblGrid>
        <w:gridCol w:w="4638"/>
        <w:gridCol w:w="2080"/>
        <w:gridCol w:w="1786"/>
      </w:tblGrid>
      <w:tr>
        <w:tblPrEx>
          <w:tblCellMar>
            <w:top w:w="15" w:type="dxa"/>
            <w:left w:w="15" w:type="dxa"/>
            <w:bottom w:w="15" w:type="dxa"/>
            <w:right w:w="15" w:type="dxa"/>
          </w:tblCellMar>
        </w:tblPrEx>
        <w:trPr>
          <w:trHeight w:val="374" w:hRule="atLeast"/>
          <w:tblHeader/>
        </w:trPr>
        <w:tc>
          <w:tcPr>
            <w:tcW w:w="4638"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r>
              <w:rPr>
                <w:rFonts w:hint="eastAsia" w:ascii="仿宋" w:hAnsi="仿宋" w:eastAsia="仿宋" w:cs="仿宋"/>
                <w:highlight w:val="none"/>
                <w:shd w:val="clear" w:color="auto" w:fill="auto"/>
              </w:rPr>
              <w:t>付款条件</w:t>
            </w:r>
          </w:p>
        </w:tc>
        <w:tc>
          <w:tcPr>
            <w:tcW w:w="2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r>
              <w:rPr>
                <w:rFonts w:hint="eastAsia" w:ascii="仿宋" w:hAnsi="仿宋" w:eastAsia="仿宋" w:cs="仿宋"/>
                <w:highlight w:val="none"/>
                <w:shd w:val="clear" w:color="auto" w:fill="auto"/>
              </w:rPr>
              <w:t>付款比例（%）</w:t>
            </w:r>
          </w:p>
        </w:tc>
        <w:tc>
          <w:tcPr>
            <w:tcW w:w="178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r>
              <w:rPr>
                <w:rFonts w:hint="eastAsia" w:ascii="仿宋" w:hAnsi="仿宋" w:eastAsia="仿宋" w:cs="仿宋"/>
                <w:highlight w:val="none"/>
                <w:shd w:val="clear" w:color="auto" w:fill="auto"/>
              </w:rPr>
              <w:t>付款金额（元）</w:t>
            </w:r>
          </w:p>
        </w:tc>
      </w:tr>
      <w:tr>
        <w:tblPrEx>
          <w:tblCellMar>
            <w:top w:w="15" w:type="dxa"/>
            <w:left w:w="15" w:type="dxa"/>
            <w:bottom w:w="15" w:type="dxa"/>
            <w:right w:w="15" w:type="dxa"/>
          </w:tblCellMar>
        </w:tblPrEx>
        <w:trPr>
          <w:trHeight w:val="374" w:hRule="atLeast"/>
        </w:trPr>
        <w:tc>
          <w:tcPr>
            <w:tcW w:w="4638"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r>
              <w:rPr>
                <w:rFonts w:hint="eastAsia" w:ascii="仿宋" w:hAnsi="仿宋" w:eastAsia="仿宋" w:cs="仿宋"/>
                <w:highlight w:val="none"/>
                <w:shd w:val="clear" w:color="auto" w:fill="auto"/>
              </w:rPr>
              <w:t>合同签订后</w:t>
            </w:r>
          </w:p>
        </w:tc>
        <w:tc>
          <w:tcPr>
            <w:tcW w:w="2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r>
              <w:rPr>
                <w:rFonts w:hint="eastAsia" w:ascii="仿宋" w:hAnsi="仿宋" w:eastAsia="仿宋" w:cs="仿宋"/>
                <w:highlight w:val="none"/>
                <w:shd w:val="clear" w:color="auto" w:fill="auto"/>
              </w:rPr>
              <w:t>50</w:t>
            </w:r>
          </w:p>
        </w:tc>
        <w:tc>
          <w:tcPr>
            <w:tcW w:w="178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p>
        </w:tc>
      </w:tr>
      <w:tr>
        <w:tblPrEx>
          <w:tblCellMar>
            <w:top w:w="15" w:type="dxa"/>
            <w:left w:w="15" w:type="dxa"/>
            <w:bottom w:w="15" w:type="dxa"/>
            <w:right w:w="15" w:type="dxa"/>
          </w:tblCellMar>
        </w:tblPrEx>
        <w:trPr>
          <w:trHeight w:val="391" w:hRule="atLeast"/>
        </w:trPr>
        <w:tc>
          <w:tcPr>
            <w:tcW w:w="4638"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r>
              <w:rPr>
                <w:rFonts w:hint="eastAsia" w:ascii="仿宋" w:hAnsi="仿宋" w:eastAsia="仿宋" w:cs="仿宋"/>
                <w:highlight w:val="none"/>
                <w:shd w:val="clear" w:color="auto" w:fill="auto"/>
              </w:rPr>
              <w:t>安装完毕并验收合格</w:t>
            </w:r>
          </w:p>
        </w:tc>
        <w:tc>
          <w:tcPr>
            <w:tcW w:w="2080"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r>
              <w:rPr>
                <w:rFonts w:hint="eastAsia" w:ascii="仿宋" w:hAnsi="仿宋" w:eastAsia="仿宋" w:cs="仿宋"/>
                <w:highlight w:val="none"/>
                <w:shd w:val="clear" w:color="auto" w:fill="auto"/>
              </w:rPr>
              <w:t>50</w:t>
            </w:r>
          </w:p>
        </w:tc>
        <w:tc>
          <w:tcPr>
            <w:tcW w:w="1786"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37"/>
              <w:adjustRightInd w:val="0"/>
              <w:snapToGrid w:val="0"/>
              <w:spacing w:beforeAutospacing="0" w:afterAutospacing="0" w:line="400" w:lineRule="exact"/>
              <w:ind w:firstLine="480" w:firstLineChars="200"/>
              <w:jc w:val="center"/>
              <w:rPr>
                <w:rFonts w:ascii="仿宋" w:hAnsi="仿宋" w:eastAsia="仿宋" w:cs="仿宋"/>
                <w:highlight w:val="none"/>
                <w:shd w:val="clear" w:color="auto" w:fill="auto"/>
              </w:rPr>
            </w:pPr>
          </w:p>
        </w:tc>
      </w:tr>
    </w:tbl>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4.2 付款方式：</w:t>
      </w:r>
      <w:r>
        <w:rPr>
          <w:rFonts w:hint="eastAsia" w:ascii="仿宋" w:hAnsi="仿宋" w:eastAsia="仿宋" w:cs="仿宋"/>
          <w:highlight w:val="none"/>
          <w:u w:val="single"/>
          <w:shd w:val="clear" w:color="auto" w:fill="auto"/>
        </w:rPr>
        <w:t>乙方接受甲方任何一种支付方式，包括但不限于支付至指定的乙方银行账户、转账支票、商业汇票等，且支付方式不影响合同总价。双方账户、发票信息见签章处。</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4.3 付款流程与方式：</w:t>
      </w:r>
      <w:r>
        <w:rPr>
          <w:rFonts w:hint="eastAsia" w:ascii="仿宋" w:hAnsi="仿宋" w:eastAsia="仿宋" w:cs="仿宋"/>
          <w:highlight w:val="none"/>
          <w:u w:val="single"/>
          <w:shd w:val="clear" w:color="auto" w:fill="auto"/>
        </w:rPr>
        <w:t>乙方向甲方开具合格的增值税专用发票并提供付款申请资料于达到付款条件当月20日前向甲方申请，经审核无误后，次月25日前支付。若未能及时办理完成，结转至次月办理支付，对此双方均无需向对方承担任何违约责任或利息</w:t>
      </w:r>
      <w:r>
        <w:rPr>
          <w:rFonts w:hint="eastAsia" w:ascii="仿宋" w:hAnsi="仿宋" w:eastAsia="仿宋" w:cs="仿宋"/>
          <w:highlight w:val="none"/>
          <w:shd w:val="clear" w:color="auto" w:fill="auto"/>
        </w:rPr>
        <w:t>。</w:t>
      </w:r>
    </w:p>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5.违约责任</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5.1 如乙方</w:t>
      </w:r>
      <w:r>
        <w:rPr>
          <w:rFonts w:hint="eastAsia" w:ascii="仿宋" w:hAnsi="仿宋" w:eastAsia="仿宋" w:cs="仿宋"/>
          <w:highlight w:val="none"/>
          <w:u w:val="single"/>
          <w:shd w:val="clear" w:color="auto" w:fill="auto"/>
        </w:rPr>
        <w:t>逾期交付或未按工期/节点完成相关项目</w:t>
      </w:r>
      <w:r>
        <w:rPr>
          <w:rFonts w:hint="eastAsia" w:ascii="仿宋" w:hAnsi="仿宋" w:eastAsia="仿宋" w:cs="仿宋"/>
          <w:highlight w:val="none"/>
          <w:shd w:val="clear" w:color="auto" w:fill="auto"/>
        </w:rPr>
        <w:t>的，</w:t>
      </w:r>
      <w:r>
        <w:rPr>
          <w:rFonts w:hint="eastAsia" w:ascii="仿宋" w:hAnsi="仿宋" w:eastAsia="仿宋" w:cs="仿宋"/>
          <w:highlight w:val="none"/>
          <w:u w:val="single"/>
          <w:shd w:val="clear" w:color="auto" w:fill="auto"/>
        </w:rPr>
        <w:t>每次/项按照本合同总价千分之一/日</w:t>
      </w:r>
      <w:r>
        <w:rPr>
          <w:rFonts w:hint="eastAsia" w:ascii="仿宋" w:hAnsi="仿宋" w:eastAsia="仿宋" w:cs="仿宋"/>
          <w:highlight w:val="none"/>
          <w:shd w:val="clear" w:color="auto" w:fill="auto"/>
        </w:rPr>
        <w:t>向甲方支付违约金，</w:t>
      </w:r>
      <w:r>
        <w:rPr>
          <w:rFonts w:hint="eastAsia" w:ascii="仿宋" w:hAnsi="仿宋" w:eastAsia="仿宋" w:cs="仿宋"/>
          <w:highlight w:val="none"/>
          <w:u w:val="single"/>
          <w:shd w:val="clear" w:color="auto" w:fill="auto"/>
        </w:rPr>
        <w:t>每次/项逾期超过【7】日</w:t>
      </w:r>
      <w:r>
        <w:rPr>
          <w:rFonts w:hint="eastAsia" w:ascii="仿宋" w:hAnsi="仿宋" w:eastAsia="仿宋" w:cs="仿宋"/>
          <w:highlight w:val="none"/>
          <w:shd w:val="clear" w:color="auto" w:fill="auto"/>
        </w:rPr>
        <w:t>，甲方有权要求乙方支付</w:t>
      </w:r>
      <w:r>
        <w:rPr>
          <w:rFonts w:hint="eastAsia" w:ascii="仿宋" w:hAnsi="仿宋" w:eastAsia="仿宋" w:cs="仿宋"/>
          <w:highlight w:val="none"/>
          <w:u w:val="single"/>
          <w:shd w:val="clear" w:color="auto" w:fill="auto"/>
        </w:rPr>
        <w:t>本合同总价30%</w:t>
      </w:r>
      <w:r>
        <w:rPr>
          <w:rFonts w:hint="eastAsia" w:ascii="仿宋" w:hAnsi="仿宋" w:eastAsia="仿宋" w:cs="仿宋"/>
          <w:highlight w:val="none"/>
          <w:shd w:val="clear" w:color="auto" w:fill="auto"/>
        </w:rPr>
        <w:t>的违约金, 并有权选择解除合同。前述违约金不足以弥补甲方损失的，乙方应负责赔偿。前述违约金比例基数按如下解释：部分逾期交付（含产品、技术资料、相关文件等）或完成的，若该部分不影响产品整体性能的，按照该部分所占合同总价的比例向甲方支付违约金，若该逾期部分影响产品整体性能的，按照产品/服务整体全部逾期交付或完成计算违约金；按产品性质应办理相关登记备案手续的，乙方未按约定或通知积极配合甲方的，逾期不能或无法办理完毕备案登记手续的，按照整体全部逾期交付或完成处理。</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5.2如乙方提供的</w:t>
      </w:r>
      <w:r>
        <w:rPr>
          <w:rFonts w:hint="eastAsia" w:ascii="仿宋" w:hAnsi="仿宋" w:eastAsia="仿宋" w:cs="仿宋"/>
          <w:highlight w:val="none"/>
          <w:u w:val="single"/>
          <w:shd w:val="clear" w:color="auto" w:fill="auto"/>
        </w:rPr>
        <w:t>产品/物品/服务</w:t>
      </w:r>
      <w:r>
        <w:rPr>
          <w:rFonts w:hint="eastAsia" w:ascii="仿宋" w:hAnsi="仿宋" w:eastAsia="仿宋" w:cs="仿宋"/>
          <w:highlight w:val="none"/>
          <w:shd w:val="clear" w:color="auto" w:fill="auto"/>
        </w:rPr>
        <w:t>不符合本合同约定或者验收不合格的，应立即改正并采取与本合同项下</w:t>
      </w:r>
      <w:r>
        <w:rPr>
          <w:rFonts w:hint="eastAsia" w:ascii="仿宋" w:hAnsi="仿宋" w:eastAsia="仿宋" w:cs="仿宋"/>
          <w:highlight w:val="none"/>
          <w:u w:val="single"/>
          <w:shd w:val="clear" w:color="auto" w:fill="auto"/>
        </w:rPr>
        <w:t>采购产品/物品/服务</w:t>
      </w:r>
      <w:r>
        <w:rPr>
          <w:rFonts w:hint="eastAsia" w:ascii="仿宋" w:hAnsi="仿宋" w:eastAsia="仿宋" w:cs="仿宋"/>
          <w:highlight w:val="none"/>
          <w:shd w:val="clear" w:color="auto" w:fill="auto"/>
        </w:rPr>
        <w:t>性质相适应的有效补救措施（包括但不限于</w:t>
      </w:r>
      <w:r>
        <w:rPr>
          <w:rFonts w:hint="eastAsia" w:ascii="仿宋" w:hAnsi="仿宋" w:eastAsia="仿宋" w:cs="仿宋"/>
          <w:highlight w:val="none"/>
          <w:u w:val="single"/>
          <w:shd w:val="clear" w:color="auto" w:fill="auto"/>
        </w:rPr>
        <w:t>更换、退货、重做、返工等</w:t>
      </w:r>
      <w:r>
        <w:rPr>
          <w:rFonts w:hint="eastAsia" w:ascii="仿宋" w:hAnsi="仿宋" w:eastAsia="仿宋" w:cs="仿宋"/>
          <w:highlight w:val="none"/>
          <w:shd w:val="clear" w:color="auto" w:fill="auto"/>
        </w:rPr>
        <w:t>），否则甲方有权拒绝或延迟支付相应款项直至验收合格。乙方拒绝或未按期改正并通过甲方最终验收的，甲方有权不予支付相应价款（甲方已支付但实际未发生的部分，乙方也应返还甲方），要求乙方支付</w:t>
      </w:r>
      <w:r>
        <w:rPr>
          <w:rFonts w:hint="eastAsia" w:ascii="仿宋" w:hAnsi="仿宋" w:eastAsia="仿宋" w:cs="仿宋"/>
          <w:highlight w:val="none"/>
          <w:u w:val="single"/>
          <w:shd w:val="clear" w:color="auto" w:fill="auto"/>
        </w:rPr>
        <w:t>本合同总金额30%</w:t>
      </w:r>
      <w:r>
        <w:rPr>
          <w:rFonts w:hint="eastAsia" w:ascii="仿宋" w:hAnsi="仿宋" w:eastAsia="仿宋" w:cs="仿宋"/>
          <w:highlight w:val="none"/>
          <w:shd w:val="clear" w:color="auto" w:fill="auto"/>
        </w:rPr>
        <w:t>作为违约金，并赔偿甲方全部损失和费用，且甲方有权选择解除合同。</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5.3如乙方不按本合同约定及本合同项下</w:t>
      </w:r>
      <w:r>
        <w:rPr>
          <w:rFonts w:hint="eastAsia" w:ascii="仿宋" w:hAnsi="仿宋" w:eastAsia="仿宋" w:cs="仿宋"/>
          <w:highlight w:val="none"/>
          <w:u w:val="single"/>
          <w:shd w:val="clear" w:color="auto" w:fill="auto"/>
        </w:rPr>
        <w:t>采购产品/物品/服务</w:t>
      </w:r>
      <w:r>
        <w:rPr>
          <w:rFonts w:hint="eastAsia" w:ascii="仿宋" w:hAnsi="仿宋" w:eastAsia="仿宋" w:cs="仿宋"/>
          <w:highlight w:val="none"/>
          <w:shd w:val="clear" w:color="auto" w:fill="auto"/>
        </w:rPr>
        <w:t>的性质提供质量保证或售后服务的，甲方有权要求乙方支付</w:t>
      </w:r>
      <w:r>
        <w:rPr>
          <w:rFonts w:hint="eastAsia" w:ascii="仿宋" w:hAnsi="仿宋" w:eastAsia="仿宋" w:cs="仿宋"/>
          <w:highlight w:val="none"/>
          <w:u w:val="single"/>
          <w:shd w:val="clear" w:color="auto" w:fill="auto"/>
        </w:rPr>
        <w:t>本合同总金额30%</w:t>
      </w:r>
      <w:r>
        <w:rPr>
          <w:rFonts w:hint="eastAsia" w:ascii="仿宋" w:hAnsi="仿宋" w:eastAsia="仿宋" w:cs="仿宋"/>
          <w:highlight w:val="none"/>
          <w:shd w:val="clear" w:color="auto" w:fill="auto"/>
        </w:rPr>
        <w:t> 的违约金，并赔偿甲方全部损失和费用，且甲方有权选择解除合同。</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5.4如因乙方提供的</w:t>
      </w:r>
      <w:r>
        <w:rPr>
          <w:rFonts w:hint="eastAsia" w:ascii="仿宋" w:hAnsi="仿宋" w:eastAsia="仿宋" w:cs="仿宋"/>
          <w:highlight w:val="none"/>
          <w:u w:val="single"/>
          <w:shd w:val="clear" w:color="auto" w:fill="auto"/>
        </w:rPr>
        <w:t>电视机</w:t>
      </w:r>
      <w:r>
        <w:rPr>
          <w:rFonts w:hint="eastAsia" w:ascii="仿宋" w:hAnsi="仿宋" w:eastAsia="仿宋" w:cs="仿宋"/>
          <w:highlight w:val="none"/>
          <w:shd w:val="clear" w:color="auto" w:fill="auto"/>
        </w:rPr>
        <w:t>原因（包括但不限于质量问题、知识产权等）导致甲方或其他第三方遭受人身、财产损害的，由此产生的全部责任由乙方承担。甲方因此遭受的损失或支出的费用，有权向乙方主张/追偿。</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5.5 若因乙方违约，赔偿金/违约金（无论明确约定与否）不足以弥补甲方损失的，甲方可选择直接从乙方本合同或双方其他合同/订单在甲方处的预留金、保证金、担保金、应收账款等直接进行扣减或抵充，扣减或抵充后乙方应及时补足预留、保证、担保性质的款项，同时甲方有权直接选择继续或另行向乙方主张。</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5.6乙方应当赔偿的损失包括甲方所有的直接损失和间接损失。</w:t>
      </w:r>
    </w:p>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6.其他特别约定</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6.1 乙方负责运输、安装等与本合同有关的服务过程中因乙方产品或乙方服务原因导致的任何类型安全问题，由此产生的一切责任由乙方承担，非因甲方原因导致的乙方或第三方人身、财产损害，甲方不负任何责任。</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6.2甲乙双方对本合同的内容，以及因签订、履行本合同而获得、知悉、掌握的对方的保密资料或信息（包括但不限于商业秘密、财务、技术、产品/服务、用户/客户信息或资料，或者其他保密文件、信息、资料等）负有保密义务；未经对方书面同意，不得擅自对外公开、披露或者向本合同以外的第三人泄露；否则，应赔偿给对方造成的全部损失。</w:t>
      </w:r>
    </w:p>
    <w:p>
      <w:pPr>
        <w:pStyle w:val="37"/>
        <w:adjustRightInd w:val="0"/>
        <w:snapToGrid w:val="0"/>
        <w:spacing w:beforeAutospacing="0" w:afterAutospacing="0" w:line="400" w:lineRule="exact"/>
        <w:ind w:firstLine="480" w:firstLineChars="200"/>
        <w:rPr>
          <w:highlight w:val="none"/>
          <w:shd w:val="clear" w:color="auto" w:fill="auto"/>
        </w:rPr>
      </w:pPr>
      <w:r>
        <w:rPr>
          <w:rFonts w:hint="eastAsia" w:ascii="仿宋" w:hAnsi="仿宋" w:eastAsia="仿宋" w:cs="仿宋"/>
          <w:highlight w:val="none"/>
          <w:shd w:val="clear" w:color="auto" w:fill="auto"/>
        </w:rPr>
        <w:t>本保密义务在本合同期满、解除或终止后仍然有效，但已经合法公开/披露、已经或正在被公众知悉的信息或者经公权力机关依职权需要调阅（特定司法机关强制披露的应先通知对方再仅向该司法机关披露并书面提示应予保密）的信息除外。</w:t>
      </w:r>
    </w:p>
    <w:p>
      <w:pPr>
        <w:pStyle w:val="37"/>
        <w:adjustRightInd w:val="0"/>
        <w:snapToGrid w:val="0"/>
        <w:spacing w:beforeAutospacing="0" w:afterAutospacing="0" w:line="400" w:lineRule="exact"/>
        <w:ind w:firstLine="480" w:firstLineChars="200"/>
        <w:rPr>
          <w:rFonts w:ascii="仿宋" w:hAnsi="仿宋" w:eastAsia="仿宋" w:cs="仿宋"/>
          <w:highlight w:val="none"/>
          <w:u w:val="single"/>
          <w:shd w:val="clear" w:color="auto" w:fill="auto"/>
        </w:rPr>
      </w:pPr>
      <w:r>
        <w:rPr>
          <w:rFonts w:hint="eastAsia" w:ascii="仿宋" w:hAnsi="仿宋" w:eastAsia="仿宋" w:cs="仿宋"/>
          <w:highlight w:val="none"/>
          <w:u w:val="single"/>
          <w:shd w:val="clear" w:color="auto" w:fill="auto"/>
        </w:rPr>
        <w:t>6</w:t>
      </w:r>
      <w:r>
        <w:rPr>
          <w:rFonts w:ascii="仿宋" w:hAnsi="仿宋" w:eastAsia="仿宋" w:cs="仿宋"/>
          <w:highlight w:val="none"/>
          <w:u w:val="single"/>
          <w:shd w:val="clear" w:color="auto" w:fill="auto"/>
        </w:rPr>
        <w:t>.3</w:t>
      </w:r>
      <w:r>
        <w:rPr>
          <w:rFonts w:hint="eastAsia" w:ascii="仿宋" w:hAnsi="仿宋" w:eastAsia="仿宋" w:cs="仿宋"/>
          <w:highlight w:val="none"/>
          <w:u w:val="single"/>
          <w:shd w:val="clear" w:color="auto" w:fill="auto"/>
        </w:rPr>
        <w:t>本合同签署前，乙方承诺为合法的经营机构，有能力组织、实施符合本合同约定及甲方预期</w:t>
      </w:r>
      <w:r>
        <w:rPr>
          <w:rFonts w:ascii="仿宋" w:hAnsi="仿宋" w:eastAsia="仿宋" w:cs="仿宋"/>
          <w:highlight w:val="none"/>
          <w:u w:val="single"/>
          <w:shd w:val="clear" w:color="auto" w:fill="auto"/>
        </w:rPr>
        <w:t>/</w:t>
      </w:r>
      <w:r>
        <w:rPr>
          <w:rFonts w:hint="eastAsia" w:ascii="仿宋" w:hAnsi="仿宋" w:eastAsia="仿宋" w:cs="仿宋"/>
          <w:highlight w:val="none"/>
          <w:u w:val="single"/>
          <w:shd w:val="clear" w:color="auto" w:fill="auto"/>
        </w:rPr>
        <w:t>要求的工作。签约各方已相互提示，就本合同各条款作全面、准确的理解，并应对方要求作了相应的说明。签约各方对本合同条款含义及相应法律后果已认知一致并完全出于真实意思表示进行签署。</w:t>
      </w:r>
    </w:p>
    <w:p>
      <w:pPr>
        <w:pStyle w:val="2"/>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7.不可抗力</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7.1本合同所称不可抗力，是指不能预见、不能避免且不能克服的客观情况。包括下列情形：</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（1）自然灾害或极端恶劣天气，包括但不限于台风、洪涝、海啸、地震、暴风雪、</w:t>
      </w:r>
      <w:r>
        <w:rPr>
          <w:highlight w:val="none"/>
          <w:shd w:val="clear" w:color="auto" w:fill="auto"/>
        </w:rPr>
        <w:fldChar w:fldCharType="begin"/>
      </w:r>
      <w:r>
        <w:rPr>
          <w:highlight w:val="none"/>
          <w:shd w:val="clear" w:color="auto" w:fill="auto"/>
        </w:rPr>
        <w:instrText xml:space="preserve"> HYPERLINK "https://baike.baidu.com/item/%E5%86%B0%E9%9B%B9/35334" \t "https://baike.baidu.com/item/%E8%87%AA%E7%84%B6%E7%81%BE%E5%AE%B3/_blank" </w:instrText>
      </w:r>
      <w:r>
        <w:rPr>
          <w:highlight w:val="none"/>
          <w:shd w:val="clear" w:color="auto" w:fill="auto"/>
        </w:rPr>
        <w:fldChar w:fldCharType="separate"/>
      </w:r>
      <w:r>
        <w:rPr>
          <w:rFonts w:hint="eastAsia" w:ascii="仿宋" w:hAnsi="仿宋" w:eastAsia="仿宋" w:cs="仿宋"/>
          <w:highlight w:val="none"/>
          <w:shd w:val="clear" w:color="auto" w:fill="auto"/>
        </w:rPr>
        <w:t>冰雹</w:t>
      </w:r>
      <w:r>
        <w:rPr>
          <w:rFonts w:hint="eastAsia" w:ascii="仿宋" w:hAnsi="仿宋" w:eastAsia="仿宋" w:cs="仿宋"/>
          <w:highlight w:val="none"/>
          <w:shd w:val="clear" w:color="auto" w:fill="auto"/>
        </w:rPr>
        <w:fldChar w:fldCharType="end"/>
      </w:r>
      <w:r>
        <w:rPr>
          <w:rFonts w:hint="eastAsia" w:ascii="仿宋" w:hAnsi="仿宋" w:eastAsia="仿宋" w:cs="仿宋"/>
          <w:highlight w:val="none"/>
          <w:shd w:val="clear" w:color="auto" w:fill="auto"/>
        </w:rPr>
        <w:t>等；</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（2）重大社会异常事件，包括但不限于重大传染病疫情、战争、罢工、暴乱、暴恐活动、罢工、封锁等；</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（3）突发意外事件，包括但不限于火灾、爆炸、坍塌等；</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（4）政府行为，包括但不限于征收、征用、政府禁令、疫情防控、政策变化、政府规划、改造、政府通知、政府组织相关会议、活动、比赛等。</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7.2因不可抗力不能履行合同的一方，应在不可抗力发生后</w:t>
      </w:r>
      <w:r>
        <w:rPr>
          <w:rFonts w:hint="eastAsia" w:ascii="仿宋" w:hAnsi="仿宋" w:eastAsia="仿宋" w:cs="仿宋"/>
          <w:highlight w:val="none"/>
          <w:u w:val="single"/>
          <w:shd w:val="clear" w:color="auto" w:fill="auto"/>
        </w:rPr>
        <w:t xml:space="preserve"> 10日</w:t>
      </w:r>
      <w:r>
        <w:rPr>
          <w:rFonts w:hint="eastAsia" w:ascii="仿宋" w:hAnsi="仿宋" w:eastAsia="仿宋" w:cs="仿宋"/>
          <w:highlight w:val="none"/>
          <w:shd w:val="clear" w:color="auto" w:fill="auto"/>
        </w:rPr>
        <w:t>内书面告知对方，以减轻可能给对方造成的损失，同时，采取必要措施防止损害扩大，尽量降低不可抗力的影响；并在不可抗力消除或者其影响可控后</w:t>
      </w:r>
      <w:r>
        <w:rPr>
          <w:rFonts w:hint="eastAsia" w:ascii="仿宋" w:hAnsi="仿宋" w:eastAsia="仿宋" w:cs="仿宋"/>
          <w:highlight w:val="none"/>
          <w:u w:val="single"/>
          <w:shd w:val="clear" w:color="auto" w:fill="auto"/>
        </w:rPr>
        <w:t xml:space="preserve"> 10日</w:t>
      </w:r>
      <w:r>
        <w:rPr>
          <w:rFonts w:hint="eastAsia" w:ascii="仿宋" w:hAnsi="仿宋" w:eastAsia="仿宋" w:cs="仿宋"/>
          <w:highlight w:val="none"/>
          <w:shd w:val="clear" w:color="auto" w:fill="auto"/>
        </w:rPr>
        <w:t>内提供证明。</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 xml:space="preserve">7.3一方因不可抗力不能履行合同的，根据不可抗力的影响，部分或者全部免除责任。一方迟延履行后发生不可抗力的，不免除其违约责任。 </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7.4不可抗力消除或者其影响可控后，若采取补救措施有条件继续履行合同的，双方协商一致后，应于合理期限内继续履行合同；若因不可抗力导致合同无法继续履行、无继续履行必要或不能实现合同目的的，双方可协商变更或解除合同；协商不成的，双方均有权以书面形式通知对方解除合同，且互不因此承担违约责任。</w:t>
      </w:r>
    </w:p>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8.通知与送达</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8.1 与本合同有关的任何通知、回复、函件、文件、数据电文等文书，均应采用书面形式，以本合同载明的或双方确认的地址为有效送达地址，由专人当面送达或以特快专递/挂号信函送达。为提高效率，双方亦同意采用电子邮件、手机短信等电子方式送达，但需提供原件（如合同原件、纸质发票、解除合同通知等）的除外。一旦采用前述相应方式交付、投寄或发送成功即视为送达，对方是否签收、何人签收，均不影响送达的效力，且适用于人民法院一审、二审、再审（含申诉再审、申诉审查）及执行程序或仲裁机关开庭通知、裁决书等法律文书的送达。一方发生变更的，应于3日内书面通知对方，否则视为未变更，按本合同约定送达方式送达仍为有效，未及时通知的一方承担由此产生的法律后果。</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8.2 甲方任何人员无权对乙方作出任何有悖于本合同或损害甲方权益的承诺，由此产生的任何后果乙方无权向甲方进行主张，但乙方合法获得的加盖甲方公章且内容明确、真实的书面承诺除外。</w:t>
      </w:r>
    </w:p>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bookmarkStart w:id="475" w:name="_Hlk45029395"/>
      <w:r>
        <w:rPr>
          <w:rFonts w:ascii="仿宋" w:hAnsi="仿宋" w:eastAsia="仿宋" w:cs="仿宋"/>
          <w:sz w:val="24"/>
          <w:szCs w:val="24"/>
          <w:highlight w:val="none"/>
          <w:shd w:val="clear" w:color="auto" w:fill="auto"/>
        </w:rPr>
        <w:t>9.争议解决方式</w:t>
      </w:r>
    </w:p>
    <w:p>
      <w:pPr>
        <w:adjustRightInd w:val="0"/>
        <w:snapToGrid w:val="0"/>
        <w:spacing w:line="400" w:lineRule="exac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双方在合同签订及履行过程中发生的一切争议，应友好协商解决；协商不成的，按如下第</w:t>
      </w:r>
      <w:r>
        <w:rPr>
          <w:rFonts w:hint="eastAsia" w:ascii="仿宋" w:hAnsi="仿宋" w:eastAsia="仿宋" w:cs="仿宋"/>
          <w:sz w:val="24"/>
          <w:highlight w:val="none"/>
          <w:u w:val="single"/>
          <w:shd w:val="clear" w:color="auto" w:fill="auto"/>
        </w:rPr>
        <w:t xml:space="preserve"> A </w:t>
      </w:r>
      <w:r>
        <w:rPr>
          <w:rFonts w:hint="eastAsia" w:ascii="仿宋" w:hAnsi="仿宋" w:eastAsia="仿宋" w:cs="仿宋"/>
          <w:sz w:val="24"/>
          <w:highlight w:val="none"/>
          <w:shd w:val="clear" w:color="auto" w:fill="auto"/>
        </w:rPr>
        <w:t>项方式解决：</w:t>
      </w:r>
    </w:p>
    <w:p>
      <w:pPr>
        <w:adjustRightInd w:val="0"/>
        <w:snapToGrid w:val="0"/>
        <w:spacing w:line="400" w:lineRule="exac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A.提交</w:t>
      </w:r>
      <w:r>
        <w:rPr>
          <w:rFonts w:hint="eastAsia" w:ascii="仿宋" w:hAnsi="仿宋" w:eastAsia="仿宋" w:cs="仿宋"/>
          <w:sz w:val="24"/>
          <w:highlight w:val="none"/>
          <w:u w:val="single"/>
          <w:shd w:val="clear" w:color="auto" w:fill="auto"/>
        </w:rPr>
        <w:t xml:space="preserve"> 甲方所在地 </w:t>
      </w:r>
      <w:r>
        <w:rPr>
          <w:rFonts w:hint="eastAsia" w:ascii="仿宋" w:hAnsi="仿宋" w:eastAsia="仿宋" w:cs="仿宋"/>
          <w:sz w:val="24"/>
          <w:highlight w:val="none"/>
          <w:shd w:val="clear" w:color="auto" w:fill="auto"/>
        </w:rPr>
        <w:t>人民法院按照中华人民共和国程序法及实体法诉讼解决。</w:t>
      </w:r>
    </w:p>
    <w:p>
      <w:pPr>
        <w:adjustRightInd w:val="0"/>
        <w:snapToGrid w:val="0"/>
        <w:spacing w:line="400" w:lineRule="exact"/>
        <w:ind w:firstLine="480" w:firstLineChars="200"/>
        <w:rPr>
          <w:rFonts w:ascii="仿宋" w:hAnsi="仿宋" w:eastAsia="仿宋" w:cs="仿宋"/>
          <w:sz w:val="24"/>
          <w:highlight w:val="none"/>
          <w:shd w:val="clear" w:color="auto" w:fill="auto"/>
        </w:rPr>
      </w:pPr>
      <w:r>
        <w:rPr>
          <w:rFonts w:hint="eastAsia" w:ascii="仿宋" w:hAnsi="仿宋" w:eastAsia="仿宋" w:cs="仿宋"/>
          <w:sz w:val="24"/>
          <w:highlight w:val="none"/>
          <w:shd w:val="clear" w:color="auto" w:fill="auto"/>
        </w:rPr>
        <w:t>B.提交</w:t>
      </w:r>
      <w:r>
        <w:rPr>
          <w:rFonts w:hint="eastAsia" w:ascii="仿宋" w:hAnsi="仿宋" w:eastAsia="仿宋" w:cs="仿宋"/>
          <w:sz w:val="24"/>
          <w:highlight w:val="none"/>
          <w:u w:val="single"/>
          <w:shd w:val="clear" w:color="auto" w:fill="auto"/>
        </w:rPr>
        <w:t xml:space="preserve"> 青岛仲裁委员会 </w:t>
      </w:r>
      <w:r>
        <w:rPr>
          <w:rFonts w:hint="eastAsia" w:ascii="仿宋" w:hAnsi="仿宋" w:eastAsia="仿宋" w:cs="仿宋"/>
          <w:sz w:val="24"/>
          <w:highlight w:val="none"/>
          <w:shd w:val="clear" w:color="auto" w:fill="auto"/>
        </w:rPr>
        <w:t>按照提起之日该会有效仲裁规则及中华人民共和国法律法规进行仲裁。</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因本合同产生的一切争议适用中华人民共和国法律法规。因乙方违约导致甲方损失和支付的费用（包括但不限于违约金、赔偿金、律师费、诉讼费、诉讼财产保全保全费及保险费、评估费、鉴定费、公证费、差旅费等费用）由乙方承担，甲方有权从应付款项中扣除，不足部分继续追偿。</w:t>
      </w:r>
    </w:p>
    <w:bookmarkEnd w:id="475"/>
    <w:p>
      <w:pPr>
        <w:pStyle w:val="2"/>
        <w:widowControl/>
        <w:adjustRightInd w:val="0"/>
        <w:snapToGrid w:val="0"/>
        <w:spacing w:line="400" w:lineRule="exact"/>
        <w:ind w:firstLine="482" w:firstLineChars="200"/>
        <w:rPr>
          <w:rFonts w:ascii="仿宋" w:hAnsi="仿宋" w:eastAsia="仿宋" w:cs="仿宋"/>
          <w:sz w:val="24"/>
          <w:szCs w:val="24"/>
          <w:highlight w:val="none"/>
          <w:shd w:val="clear" w:color="auto" w:fill="auto"/>
        </w:rPr>
      </w:pPr>
      <w:r>
        <w:rPr>
          <w:rFonts w:ascii="仿宋" w:hAnsi="仿宋" w:eastAsia="仿宋" w:cs="仿宋"/>
          <w:sz w:val="24"/>
          <w:szCs w:val="24"/>
          <w:highlight w:val="none"/>
          <w:shd w:val="clear" w:color="auto" w:fill="auto"/>
        </w:rPr>
        <w:t>10.合同生效及其他</w:t>
      </w:r>
    </w:p>
    <w:p>
      <w:pPr>
        <w:pStyle w:val="37"/>
        <w:adjustRightInd w:val="0"/>
        <w:snapToGrid w:val="0"/>
        <w:spacing w:beforeAutospacing="0" w:afterAutospacing="0" w:line="400" w:lineRule="exact"/>
        <w:ind w:firstLine="480" w:firstLineChars="200"/>
        <w:rPr>
          <w:rFonts w:ascii="仿宋" w:hAnsi="仿宋" w:eastAsia="仿宋" w:cs="仿宋"/>
          <w:highlight w:val="none"/>
          <w:shd w:val="clear" w:color="auto" w:fill="auto"/>
        </w:rPr>
      </w:pPr>
      <w:r>
        <w:rPr>
          <w:rFonts w:hint="eastAsia" w:ascii="仿宋" w:hAnsi="仿宋" w:eastAsia="仿宋" w:cs="仿宋"/>
          <w:highlight w:val="none"/>
          <w:shd w:val="clear" w:color="auto" w:fill="auto"/>
        </w:rPr>
        <w:t>10.1本合同未尽事宜，经甲乙双方协商一致后签订书面补充协议，补充协议与本合同具有同等法律效力。</w:t>
      </w:r>
    </w:p>
    <w:p>
      <w:pPr>
        <w:adjustRightInd w:val="0"/>
        <w:snapToGrid w:val="0"/>
        <w:spacing w:line="400" w:lineRule="exact"/>
        <w:ind w:firstLine="480" w:firstLineChars="200"/>
        <w:rPr>
          <w:rFonts w:ascii="仿宋" w:hAnsi="仿宋" w:eastAsia="仿宋" w:cs="仿宋"/>
          <w:kern w:val="0"/>
          <w:sz w:val="24"/>
          <w:highlight w:val="none"/>
          <w:shd w:val="clear" w:color="auto" w:fill="auto"/>
        </w:rPr>
      </w:pPr>
      <w:r>
        <w:rPr>
          <w:rFonts w:hint="eastAsia" w:ascii="仿宋" w:hAnsi="仿宋" w:eastAsia="仿宋" w:cs="仿宋"/>
          <w:sz w:val="24"/>
          <w:highlight w:val="none"/>
          <w:shd w:val="clear" w:color="auto" w:fill="auto"/>
        </w:rPr>
        <w:t>10.2本合同经</w:t>
      </w:r>
      <w:r>
        <w:rPr>
          <w:rFonts w:hint="eastAsia" w:ascii="仿宋" w:hAnsi="仿宋" w:eastAsia="仿宋" w:cs="仿宋"/>
          <w:sz w:val="24"/>
          <w:highlight w:val="none"/>
          <w:u w:val="single"/>
          <w:shd w:val="clear" w:color="auto" w:fill="auto"/>
        </w:rPr>
        <w:t>双方签字盖章后</w:t>
      </w:r>
      <w:r>
        <w:rPr>
          <w:rFonts w:hint="eastAsia" w:ascii="仿宋" w:hAnsi="仿宋" w:eastAsia="仿宋" w:cs="仿宋"/>
          <w:sz w:val="24"/>
          <w:highlight w:val="none"/>
          <w:shd w:val="clear" w:color="auto" w:fill="auto"/>
        </w:rPr>
        <w:t>生效，</w:t>
      </w:r>
      <w:r>
        <w:rPr>
          <w:rFonts w:hint="eastAsia" w:ascii="仿宋" w:hAnsi="仿宋" w:eastAsia="仿宋" w:cs="仿宋"/>
          <w:kern w:val="0"/>
          <w:sz w:val="24"/>
          <w:highlight w:val="none"/>
          <w:shd w:val="clear" w:color="auto" w:fill="auto"/>
        </w:rPr>
        <w:t>一式</w:t>
      </w:r>
      <w:r>
        <w:rPr>
          <w:rFonts w:hint="eastAsia" w:ascii="仿宋" w:hAnsi="仿宋" w:eastAsia="仿宋" w:cs="仿宋"/>
          <w:kern w:val="0"/>
          <w:sz w:val="24"/>
          <w:highlight w:val="none"/>
          <w:u w:val="single"/>
          <w:shd w:val="clear" w:color="auto" w:fill="auto"/>
        </w:rPr>
        <w:t xml:space="preserve">  六  </w:t>
      </w:r>
      <w:r>
        <w:rPr>
          <w:rFonts w:hint="eastAsia" w:ascii="仿宋" w:hAnsi="仿宋" w:eastAsia="仿宋" w:cs="仿宋"/>
          <w:kern w:val="0"/>
          <w:sz w:val="24"/>
          <w:highlight w:val="none"/>
          <w:shd w:val="clear" w:color="auto" w:fill="auto"/>
        </w:rPr>
        <w:t>份，甲方持</w:t>
      </w:r>
      <w:r>
        <w:rPr>
          <w:rFonts w:hint="eastAsia" w:ascii="仿宋" w:hAnsi="仿宋" w:eastAsia="仿宋" w:cs="仿宋"/>
          <w:kern w:val="0"/>
          <w:sz w:val="24"/>
          <w:highlight w:val="none"/>
          <w:u w:val="single"/>
          <w:shd w:val="clear" w:color="auto" w:fill="auto"/>
        </w:rPr>
        <w:t xml:space="preserve">  四  </w:t>
      </w:r>
      <w:r>
        <w:rPr>
          <w:rFonts w:hint="eastAsia" w:ascii="仿宋" w:hAnsi="仿宋" w:eastAsia="仿宋" w:cs="仿宋"/>
          <w:kern w:val="0"/>
          <w:sz w:val="24"/>
          <w:highlight w:val="none"/>
          <w:shd w:val="clear" w:color="auto" w:fill="auto"/>
        </w:rPr>
        <w:t>份，乙方持</w:t>
      </w:r>
      <w:r>
        <w:rPr>
          <w:rFonts w:hint="eastAsia" w:ascii="仿宋" w:hAnsi="仿宋" w:eastAsia="仿宋" w:cs="仿宋"/>
          <w:kern w:val="0"/>
          <w:sz w:val="24"/>
          <w:highlight w:val="none"/>
          <w:u w:val="single"/>
          <w:shd w:val="clear" w:color="auto" w:fill="auto"/>
        </w:rPr>
        <w:t xml:space="preserve"> 二   </w:t>
      </w:r>
      <w:r>
        <w:rPr>
          <w:rFonts w:hint="eastAsia" w:ascii="仿宋" w:hAnsi="仿宋" w:eastAsia="仿宋" w:cs="仿宋"/>
          <w:kern w:val="0"/>
          <w:sz w:val="24"/>
          <w:highlight w:val="none"/>
          <w:shd w:val="clear" w:color="auto" w:fill="auto"/>
        </w:rPr>
        <w:t>份，具有同等法律效力。</w:t>
      </w:r>
      <w:r>
        <w:rPr>
          <w:rFonts w:hint="eastAsia" w:ascii="仿宋" w:hAnsi="仿宋" w:eastAsia="仿宋" w:cs="仿宋"/>
          <w:sz w:val="24"/>
          <w:highlight w:val="none"/>
          <w:u w:val="single"/>
          <w:shd w:val="clear" w:color="auto" w:fill="auto"/>
        </w:rPr>
        <w:t>本合同条款为双方协商一致后打印而成，手写文字或涂改部分一律无效</w:t>
      </w:r>
      <w:r>
        <w:rPr>
          <w:rFonts w:hint="eastAsia" w:ascii="仿宋" w:hAnsi="仿宋" w:eastAsia="仿宋" w:cs="仿宋"/>
          <w:kern w:val="0"/>
          <w:sz w:val="24"/>
          <w:highlight w:val="none"/>
          <w:u w:val="single"/>
          <w:shd w:val="clear" w:color="auto" w:fill="auto"/>
        </w:rPr>
        <w:t>。</w:t>
      </w:r>
    </w:p>
    <w:p>
      <w:pPr>
        <w:pStyle w:val="37"/>
        <w:adjustRightInd w:val="0"/>
        <w:snapToGrid w:val="0"/>
        <w:spacing w:beforeAutospacing="0" w:afterAutospacing="0" w:line="400" w:lineRule="exact"/>
        <w:ind w:firstLine="480" w:firstLineChars="200"/>
        <w:rPr>
          <w:rFonts w:ascii="仿宋" w:hAnsi="仿宋" w:eastAsia="仿宋" w:cs="仿宋"/>
          <w:highlight w:val="none"/>
          <w:u w:val="single"/>
          <w:shd w:val="clear" w:color="auto" w:fill="auto"/>
        </w:rPr>
      </w:pPr>
      <w:r>
        <w:rPr>
          <w:rFonts w:hint="eastAsia" w:ascii="仿宋" w:hAnsi="仿宋" w:eastAsia="仿宋" w:cs="仿宋"/>
          <w:highlight w:val="none"/>
          <w:u w:val="single"/>
          <w:shd w:val="clear" w:color="auto" w:fill="auto"/>
        </w:rPr>
        <w:t>10.3本合同附件（如有）是本合同不可分割的组成部分，与本合同具有同等法律效力。</w:t>
      </w:r>
    </w:p>
    <w:p>
      <w:pPr>
        <w:pStyle w:val="37"/>
        <w:adjustRightInd w:val="0"/>
        <w:snapToGrid w:val="0"/>
        <w:spacing w:beforeAutospacing="0" w:afterAutospacing="0" w:line="400" w:lineRule="exact"/>
        <w:ind w:left="105" w:firstLine="480" w:firstLineChars="200"/>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（以下无正文，为本合同签章页/处）</w:t>
      </w:r>
    </w:p>
    <w:p>
      <w:pPr>
        <w:pStyle w:val="37"/>
        <w:adjustRightInd w:val="0"/>
        <w:snapToGrid w:val="0"/>
        <w:spacing w:beforeAutospacing="0" w:afterAutospacing="0" w:line="400" w:lineRule="exact"/>
        <w:ind w:left="105" w:firstLine="360"/>
        <w:jc w:val="both"/>
        <w:rPr>
          <w:rFonts w:ascii="仿宋" w:hAnsi="仿宋" w:eastAsia="仿宋" w:cs="仿宋"/>
          <w:highlight w:val="none"/>
          <w:shd w:val="clear" w:color="auto" w:fill="auto"/>
        </w:rPr>
      </w:pPr>
    </w:p>
    <w:tbl>
      <w:tblPr>
        <w:tblStyle w:val="42"/>
        <w:tblW w:w="8280" w:type="dxa"/>
        <w:tblInd w:w="0" w:type="dxa"/>
        <w:tblLayout w:type="autofit"/>
        <w:tblCellMar>
          <w:top w:w="0" w:type="dxa"/>
          <w:left w:w="0" w:type="dxa"/>
          <w:bottom w:w="0" w:type="dxa"/>
          <w:right w:w="0" w:type="dxa"/>
        </w:tblCellMar>
      </w:tblPr>
      <w:tblGrid>
        <w:gridCol w:w="4252"/>
        <w:gridCol w:w="4028"/>
      </w:tblGrid>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甲方（盖章）：   </w:t>
            </w:r>
          </w:p>
          <w:p>
            <w:pPr>
              <w:pStyle w:val="37"/>
              <w:wordWrap w:val="0"/>
              <w:adjustRightInd w:val="0"/>
              <w:snapToGrid w:val="0"/>
              <w:spacing w:beforeAutospacing="0" w:afterAutospacing="0" w:line="400" w:lineRule="exact"/>
              <w:jc w:val="both"/>
              <w:rPr>
                <w:highlight w:val="none"/>
                <w:shd w:val="clear" w:color="auto" w:fill="auto"/>
              </w:rPr>
            </w:pP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乙方（盖章）：   </w:t>
            </w:r>
          </w:p>
          <w:p>
            <w:pPr>
              <w:pStyle w:val="37"/>
              <w:wordWrap w:val="0"/>
              <w:adjustRightInd w:val="0"/>
              <w:snapToGrid w:val="0"/>
              <w:spacing w:beforeAutospacing="0" w:afterAutospacing="0" w:line="400" w:lineRule="exact"/>
              <w:jc w:val="both"/>
              <w:rPr>
                <w:highlight w:val="none"/>
                <w:shd w:val="clear" w:color="auto" w:fill="auto"/>
              </w:rPr>
            </w:pP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法定代表人：</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法定代表人：</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地  址：  </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地  址：  </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委托代理人或联系人：   </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委托代理人或联系人：  </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电     话：  </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电     话：  </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手机号码：</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手机号码：</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电子信箱：  </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电子信箱：  </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统一社会信用代码：   </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统一社会信用代码：  </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开户银行：  </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开户银行：  </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账  号：  </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highlight w:val="none"/>
                <w:shd w:val="clear" w:color="auto" w:fill="auto"/>
              </w:rPr>
            </w:pPr>
            <w:r>
              <w:rPr>
                <w:rFonts w:hint="eastAsia" w:ascii="仿宋" w:hAnsi="仿宋" w:eastAsia="仿宋" w:cs="仿宋"/>
                <w:highlight w:val="none"/>
                <w:shd w:val="clear" w:color="auto" w:fill="auto"/>
              </w:rPr>
              <w:t>账  号：  </w:t>
            </w:r>
          </w:p>
        </w:tc>
      </w:tr>
      <w:tr>
        <w:tblPrEx>
          <w:tblCellMar>
            <w:top w:w="0" w:type="dxa"/>
            <w:left w:w="0" w:type="dxa"/>
            <w:bottom w:w="0" w:type="dxa"/>
            <w:right w:w="0" w:type="dxa"/>
          </w:tblCellMar>
        </w:tblPrEx>
        <w:trPr>
          <w:trHeight w:val="283" w:hRule="atLeast"/>
        </w:trPr>
        <w:tc>
          <w:tcPr>
            <w:tcW w:w="4252" w:type="dxa"/>
            <w:tcBorders>
              <w:top w:val="single" w:color="DDDDDD" w:sz="6" w:space="0"/>
              <w:left w:val="single" w:color="DDDDDD" w:sz="6" w:space="0"/>
              <w:bottom w:val="single" w:color="DDDDDD" w:sz="6" w:space="0"/>
              <w:right w:val="single" w:color="DDDDDD" w:sz="6" w:space="0"/>
            </w:tcBorders>
            <w:shd w:val="clear" w:color="auto" w:fill="auto"/>
            <w:tcMar>
              <w:left w:w="108" w:type="dxa"/>
              <w:right w:w="101" w:type="dxa"/>
            </w:tcMa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签订日期：</w:t>
            </w:r>
          </w:p>
        </w:tc>
        <w:tc>
          <w:tcPr>
            <w:tcW w:w="4028" w:type="dxa"/>
            <w:tcBorders>
              <w:top w:val="single" w:color="DDDDDD" w:sz="6" w:space="0"/>
              <w:left w:val="single" w:color="DDDDDD" w:sz="6" w:space="0"/>
              <w:bottom w:val="single" w:color="DDDDDD" w:sz="6" w:space="0"/>
              <w:right w:val="single" w:color="DDDDDD" w:sz="6" w:space="0"/>
            </w:tcBorders>
            <w:shd w:val="clear" w:color="auto" w:fill="auto"/>
            <w:tcMar>
              <w:left w:w="101" w:type="dxa"/>
              <w:right w:w="108" w:type="dxa"/>
            </w:tcMar>
          </w:tcPr>
          <w:p>
            <w:pPr>
              <w:pStyle w:val="37"/>
              <w:wordWrap w:val="0"/>
              <w:adjustRightInd w:val="0"/>
              <w:snapToGrid w:val="0"/>
              <w:spacing w:beforeAutospacing="0" w:afterAutospacing="0" w:line="400" w:lineRule="exact"/>
              <w:jc w:val="both"/>
              <w:rPr>
                <w:rFonts w:ascii="仿宋" w:hAnsi="仿宋" w:eastAsia="仿宋" w:cs="仿宋"/>
                <w:highlight w:val="none"/>
                <w:shd w:val="clear" w:color="auto" w:fill="auto"/>
              </w:rPr>
            </w:pPr>
            <w:r>
              <w:rPr>
                <w:rFonts w:hint="eastAsia" w:ascii="仿宋" w:hAnsi="仿宋" w:eastAsia="仿宋" w:cs="仿宋"/>
                <w:highlight w:val="none"/>
                <w:shd w:val="clear" w:color="auto" w:fill="auto"/>
              </w:rPr>
              <w:t>签订日期：</w:t>
            </w:r>
          </w:p>
        </w:tc>
      </w:tr>
    </w:tbl>
    <w:p>
      <w:pPr>
        <w:pStyle w:val="37"/>
        <w:adjustRightInd w:val="0"/>
        <w:snapToGrid w:val="0"/>
        <w:spacing w:beforeAutospacing="0" w:afterAutospacing="0" w:line="400" w:lineRule="exact"/>
        <w:rPr>
          <w:highlight w:val="none"/>
          <w:shd w:val="clear" w:color="auto" w:fill="auto"/>
        </w:rPr>
      </w:pPr>
    </w:p>
    <w:p>
      <w:pPr>
        <w:widowControl/>
        <w:spacing w:before="0" w:after="0"/>
        <w:jc w:val="left"/>
        <w:rPr>
          <w:rFonts w:ascii="宋体" w:hAnsi="宋体" w:cs="宋体"/>
          <w:kern w:val="0"/>
          <w:sz w:val="24"/>
          <w:szCs w:val="24"/>
          <w:highlight w:val="none"/>
          <w:shd w:val="clear" w:color="auto" w:fill="auto"/>
        </w:rPr>
      </w:pPr>
      <w:r>
        <w:rPr>
          <w:highlight w:val="none"/>
          <w:shd w:val="clear" w:color="auto" w:fill="auto"/>
        </w:rPr>
        <w:br w:type="page"/>
      </w:r>
    </w:p>
    <w:p>
      <w:pPr>
        <w:pStyle w:val="37"/>
        <w:adjustRightInd w:val="0"/>
        <w:snapToGrid w:val="0"/>
        <w:spacing w:beforeAutospacing="0" w:afterAutospacing="0" w:line="400" w:lineRule="exact"/>
        <w:rPr>
          <w:highlight w:val="none"/>
          <w:shd w:val="clear" w:color="auto" w:fill="auto"/>
        </w:rPr>
      </w:pPr>
    </w:p>
    <w:p>
      <w:pPr>
        <w:spacing w:before="0" w:after="0" w:line="360" w:lineRule="auto"/>
        <w:rPr>
          <w:rFonts w:ascii="Times New Roman" w:hAnsi="Times New Roman" w:cs="Times New Roman"/>
          <w:b/>
          <w:sz w:val="44"/>
          <w:szCs w:val="44"/>
          <w:highlight w:val="none"/>
          <w:shd w:val="clear" w:color="auto" w:fill="auto"/>
        </w:rPr>
      </w:pPr>
    </w:p>
    <w:p>
      <w:pPr>
        <w:spacing w:before="0" w:after="0" w:line="360" w:lineRule="auto"/>
        <w:rPr>
          <w:rFonts w:ascii="Times New Roman" w:hAnsi="Times New Roman" w:cs="Times New Roman"/>
          <w:b/>
          <w:sz w:val="44"/>
          <w:szCs w:val="44"/>
          <w:highlight w:val="none"/>
          <w:shd w:val="clear" w:color="auto" w:fill="auto"/>
        </w:rPr>
      </w:pPr>
    </w:p>
    <w:p>
      <w:pPr>
        <w:spacing w:before="0" w:after="0" w:line="360" w:lineRule="auto"/>
        <w:rPr>
          <w:rFonts w:ascii="Times New Roman" w:hAnsi="Times New Roman" w:cs="Times New Roman"/>
          <w:b/>
          <w:sz w:val="44"/>
          <w:szCs w:val="44"/>
          <w:highlight w:val="none"/>
          <w:shd w:val="clear" w:color="auto" w:fill="auto"/>
        </w:rPr>
      </w:pPr>
    </w:p>
    <w:p>
      <w:pPr>
        <w:spacing w:before="0" w:after="0" w:line="360" w:lineRule="auto"/>
        <w:rPr>
          <w:rFonts w:ascii="Times New Roman" w:hAnsi="Times New Roman" w:cs="Times New Roman"/>
          <w:b/>
          <w:sz w:val="44"/>
          <w:szCs w:val="44"/>
          <w:highlight w:val="none"/>
          <w:shd w:val="clear" w:color="auto" w:fill="auto"/>
        </w:rPr>
      </w:pPr>
    </w:p>
    <w:p>
      <w:pPr>
        <w:spacing w:before="0" w:after="0" w:line="360" w:lineRule="auto"/>
        <w:rPr>
          <w:rFonts w:ascii="Times New Roman" w:hAnsi="Times New Roman" w:cs="Times New Roman"/>
          <w:b/>
          <w:sz w:val="44"/>
          <w:szCs w:val="44"/>
          <w:highlight w:val="none"/>
          <w:shd w:val="clear" w:color="auto" w:fill="auto"/>
        </w:rPr>
      </w:pPr>
    </w:p>
    <w:p>
      <w:pPr>
        <w:spacing w:before="0" w:after="0" w:line="360" w:lineRule="auto"/>
        <w:rPr>
          <w:rFonts w:ascii="Times New Roman" w:hAnsi="Times New Roman" w:cs="Times New Roman"/>
          <w:b/>
          <w:sz w:val="44"/>
          <w:szCs w:val="44"/>
          <w:highlight w:val="none"/>
          <w:shd w:val="clear" w:color="auto" w:fill="auto"/>
        </w:rPr>
      </w:pPr>
    </w:p>
    <w:p>
      <w:pPr>
        <w:adjustRightInd w:val="0"/>
        <w:spacing w:before="0" w:after="0"/>
        <w:jc w:val="center"/>
        <w:textAlignment w:val="baseline"/>
        <w:outlineLvl w:val="0"/>
        <w:rPr>
          <w:rFonts w:ascii="Times New Roman" w:hAnsi="Times New Roman" w:eastAsia="黑体" w:cs="Times New Roman"/>
          <w:b/>
          <w:sz w:val="44"/>
          <w:szCs w:val="44"/>
          <w:highlight w:val="none"/>
          <w:shd w:val="clear" w:color="auto" w:fill="auto"/>
        </w:rPr>
      </w:pPr>
      <w:bookmarkStart w:id="476" w:name="_Toc532388794"/>
      <w:bookmarkStart w:id="477" w:name="_Toc532285507"/>
      <w:bookmarkStart w:id="478" w:name="_Toc60646655"/>
      <w:r>
        <w:rPr>
          <w:rFonts w:ascii="Times New Roman" w:hAnsi="Times New Roman" w:eastAsia="黑体" w:cs="Times New Roman"/>
          <w:b/>
          <w:sz w:val="44"/>
          <w:szCs w:val="44"/>
          <w:highlight w:val="none"/>
          <w:shd w:val="clear" w:color="auto" w:fill="auto"/>
        </w:rPr>
        <w:t>第五章</w:t>
      </w:r>
      <w:bookmarkEnd w:id="473"/>
      <w:bookmarkEnd w:id="474"/>
      <w:r>
        <w:rPr>
          <w:rFonts w:ascii="Times New Roman" w:hAnsi="Times New Roman" w:eastAsia="黑体" w:cs="Times New Roman"/>
          <w:b/>
          <w:sz w:val="44"/>
          <w:szCs w:val="44"/>
          <w:highlight w:val="none"/>
          <w:shd w:val="clear" w:color="auto" w:fill="auto"/>
        </w:rPr>
        <w:t xml:space="preserve"> </w:t>
      </w:r>
      <w:bookmarkEnd w:id="476"/>
      <w:bookmarkEnd w:id="477"/>
      <w:r>
        <w:rPr>
          <w:rFonts w:hint="eastAsia" w:ascii="Times New Roman" w:hAnsi="Times New Roman" w:eastAsia="黑体" w:cs="Times New Roman"/>
          <w:b/>
          <w:sz w:val="44"/>
          <w:szCs w:val="44"/>
          <w:highlight w:val="none"/>
          <w:shd w:val="clear" w:color="auto" w:fill="auto"/>
        </w:rPr>
        <w:t>采购需求</w:t>
      </w:r>
      <w:bookmarkEnd w:id="478"/>
    </w:p>
    <w:p>
      <w:pPr>
        <w:spacing w:line="400" w:lineRule="exact"/>
        <w:jc w:val="center"/>
        <w:rPr>
          <w:rFonts w:ascii="Times New Roman" w:hAnsi="Times New Roman" w:cs="Times New Roman"/>
          <w:b/>
          <w:sz w:val="32"/>
          <w:szCs w:val="32"/>
          <w:highlight w:val="none"/>
          <w:shd w:val="clear" w:color="auto" w:fill="auto"/>
        </w:rPr>
      </w:pPr>
      <w:r>
        <w:rPr>
          <w:rFonts w:ascii="Times New Roman" w:hAnsi="Times New Roman" w:cs="Times New Roman"/>
          <w:spacing w:val="2"/>
          <w:sz w:val="32"/>
          <w:highlight w:val="none"/>
          <w:shd w:val="clear" w:color="auto" w:fill="auto"/>
        </w:rPr>
        <w:br w:type="page"/>
      </w:r>
      <w:r>
        <w:rPr>
          <w:rFonts w:ascii="Times New Roman" w:hAnsi="Times New Roman" w:cs="Times New Roman"/>
          <w:spacing w:val="2"/>
          <w:sz w:val="32"/>
          <w:highlight w:val="none"/>
          <w:shd w:val="clear" w:color="auto" w:fill="auto"/>
        </w:rPr>
        <w:t xml:space="preserve"> </w:t>
      </w:r>
      <w:r>
        <w:rPr>
          <w:rFonts w:hint="eastAsia" w:ascii="Times New Roman" w:hAnsi="Times New Roman" w:cs="Times New Roman"/>
          <w:b/>
          <w:spacing w:val="1"/>
          <w:sz w:val="32"/>
          <w:szCs w:val="32"/>
          <w:highlight w:val="none"/>
          <w:shd w:val="clear" w:color="auto" w:fill="auto"/>
        </w:rPr>
        <w:t>采购需求</w:t>
      </w:r>
    </w:p>
    <w:p>
      <w:pPr>
        <w:spacing w:before="0" w:afterLines="50" w:line="360" w:lineRule="auto"/>
        <w:ind w:firstLine="560" w:firstLineChars="200"/>
        <w:outlineLvl w:val="2"/>
        <w:rPr>
          <w:rFonts w:ascii="楷体" w:hAnsi="楷体" w:eastAsia="楷体" w:cs="Times New Roman"/>
          <w:sz w:val="28"/>
          <w:szCs w:val="28"/>
          <w:highlight w:val="none"/>
          <w:shd w:val="clear" w:color="auto" w:fill="auto"/>
        </w:rPr>
      </w:pPr>
      <w:bookmarkStart w:id="479" w:name="_Toc436166232"/>
      <w:r>
        <w:rPr>
          <w:rFonts w:hint="eastAsia" w:ascii="楷体" w:hAnsi="楷体" w:eastAsia="楷体" w:cs="Times New Roman"/>
          <w:sz w:val="28"/>
          <w:szCs w:val="28"/>
          <w:highlight w:val="none"/>
          <w:shd w:val="clear" w:color="auto" w:fill="auto"/>
        </w:rPr>
        <w:t>1.产品技术规格、要求和数量</w:t>
      </w:r>
      <w:bookmarkEnd w:id="479"/>
    </w:p>
    <w:p>
      <w:pPr>
        <w:spacing w:before="0" w:after="0" w:line="360" w:lineRule="auto"/>
        <w:ind w:firstLine="480" w:firstLineChars="200"/>
        <w:rPr>
          <w:rFonts w:ascii="仿宋" w:hAnsi="仿宋" w:eastAsia="仿宋" w:cs="Times New Roman"/>
          <w:sz w:val="24"/>
          <w:szCs w:val="24"/>
          <w:highlight w:val="none"/>
          <w:shd w:val="clear" w:color="auto" w:fill="auto"/>
        </w:rPr>
      </w:pPr>
      <w:bookmarkStart w:id="480" w:name="_Toc436166233"/>
      <w:r>
        <w:rPr>
          <w:rFonts w:hint="eastAsia" w:ascii="仿宋" w:hAnsi="仿宋" w:eastAsia="仿宋" w:cs="Times New Roman"/>
          <w:sz w:val="24"/>
          <w:szCs w:val="24"/>
          <w:highlight w:val="none"/>
          <w:shd w:val="clear" w:color="auto" w:fill="auto"/>
        </w:rPr>
        <w:t>本项目酒店客房电视（含369个挂墙支架及35套</w:t>
      </w:r>
      <w:r>
        <w:rPr>
          <w:rFonts w:ascii="仿宋" w:hAnsi="仿宋" w:eastAsia="仿宋" w:cs="Times New Roman"/>
          <w:sz w:val="24"/>
          <w:szCs w:val="24"/>
          <w:highlight w:val="none"/>
          <w:shd w:val="clear" w:color="auto" w:fill="auto"/>
        </w:rPr>
        <w:t>万能通用落地电视增高脚架</w:t>
      </w:r>
      <w:r>
        <w:rPr>
          <w:rFonts w:hint="eastAsia" w:ascii="仿宋" w:hAnsi="仿宋" w:eastAsia="仿宋" w:cs="Times New Roman"/>
          <w:sz w:val="24"/>
          <w:szCs w:val="24"/>
          <w:highlight w:val="none"/>
          <w:shd w:val="clear" w:color="auto" w:fill="auto"/>
        </w:rPr>
        <w:t>）采购及安装，共计404台电视，具体要求如需下：</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 50英寸，并</w:t>
      </w:r>
      <w:r>
        <w:rPr>
          <w:rFonts w:ascii="仿宋" w:hAnsi="仿宋" w:eastAsia="仿宋" w:cs="Times New Roman"/>
          <w:sz w:val="24"/>
          <w:szCs w:val="24"/>
          <w:highlight w:val="none"/>
          <w:shd w:val="clear" w:color="auto" w:fill="auto"/>
        </w:rPr>
        <w:t>满足电视墙开槽安装尺寸</w:t>
      </w:r>
      <w:r>
        <w:rPr>
          <w:rFonts w:hint="eastAsia" w:ascii="仿宋" w:hAnsi="仿宋" w:eastAsia="仿宋" w:cs="Times New Roman"/>
          <w:sz w:val="24"/>
          <w:szCs w:val="24"/>
          <w:highlight w:val="none"/>
          <w:shd w:val="clear" w:color="auto" w:fill="auto"/>
        </w:rPr>
        <w:t>，</w:t>
      </w:r>
      <w:r>
        <w:rPr>
          <w:rFonts w:ascii="仿宋" w:hAnsi="仿宋" w:eastAsia="仿宋" w:cs="Times New Roman"/>
          <w:sz w:val="24"/>
          <w:szCs w:val="24"/>
          <w:highlight w:val="none"/>
          <w:shd w:val="clear" w:color="auto" w:fill="auto"/>
        </w:rPr>
        <w:t>电视机安装开口尺寸：1190x730x115（长x宽x深，单位:mm）</w:t>
      </w:r>
      <w:r>
        <w:rPr>
          <w:rFonts w:hint="eastAsia" w:ascii="仿宋" w:hAnsi="仿宋" w:eastAsia="仿宋" w:cs="Times New Roman"/>
          <w:sz w:val="24"/>
          <w:szCs w:val="24"/>
          <w:highlight w:val="none"/>
          <w:shd w:val="clear" w:color="auto" w:fill="auto"/>
        </w:rPr>
        <w:t>，</w:t>
      </w:r>
      <w:r>
        <w:rPr>
          <w:rFonts w:ascii="仿宋" w:hAnsi="仿宋" w:eastAsia="仿宋" w:cs="Times New Roman"/>
          <w:sz w:val="24"/>
          <w:szCs w:val="24"/>
          <w:highlight w:val="none"/>
          <w:shd w:val="clear" w:color="auto" w:fill="auto"/>
        </w:rPr>
        <w:t>中标设备需保证可安装且拆卸方便。</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屏幕分辨率：超高清4K</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HDR显示：支持</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屏幕比例：16:9</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能效等级：三级</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背光源：LED</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扫描方式：逐行扫描</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CPU：不低于双核64位</w:t>
      </w:r>
      <w:r>
        <w:rPr>
          <w:rFonts w:hint="eastAsia" w:ascii="宋体" w:hAnsi="宋体" w:eastAsia="宋体" w:cs="宋体"/>
          <w:sz w:val="24"/>
          <w:szCs w:val="24"/>
          <w:highlight w:val="none"/>
          <w:shd w:val="clear" w:color="auto" w:fill="auto"/>
        </w:rPr>
        <w:t> </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GPU：四核及以上</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内部存储空间：不小8GB</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底座配置：内置底座</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待机功率（w）：0.5</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工作电压（v）：220v</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网络连接：支持</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连接方式：无线/网线</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带伴音音箱功率输出接口，可接卫生间伴音音箱；</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输出类型：定压、定阻均可；输出功率：最小30W；</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带伴音音箱控制接口，可单独控制伴音音箱的音量；</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电视机具备终端用户使用一个遥控器控制多个高清设备的功能，无需使用多个遥控器来控制电子设备，如机顶盒、和便携式高清设备</w:t>
      </w:r>
      <w:r>
        <w:rPr>
          <w:rFonts w:hint="eastAsia" w:ascii="仿宋" w:hAnsi="仿宋" w:eastAsia="仿宋" w:cs="Times New Roman"/>
          <w:sz w:val="24"/>
          <w:szCs w:val="24"/>
          <w:highlight w:val="none"/>
          <w:shd w:val="clear" w:color="auto" w:fill="auto"/>
        </w:rPr>
        <w:t>。</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w:t>
      </w:r>
      <w:r>
        <w:rPr>
          <w:rFonts w:ascii="仿宋" w:hAnsi="仿宋" w:eastAsia="仿宋" w:cs="Times New Roman"/>
          <w:sz w:val="24"/>
          <w:szCs w:val="24"/>
          <w:highlight w:val="none"/>
          <w:shd w:val="clear" w:color="auto" w:fill="auto"/>
        </w:rPr>
        <w:t>开机画面设置功能（最好可以播放十秒左右小视频）。</w:t>
      </w:r>
    </w:p>
    <w:p>
      <w:pPr>
        <w:pStyle w:val="101"/>
        <w:numPr>
          <w:ilvl w:val="0"/>
          <w:numId w:val="1"/>
        </w:numPr>
        <w:spacing w:before="0" w:after="0" w:line="360" w:lineRule="auto"/>
        <w:ind w:firstLineChars="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关机后，重新开机恢复原始设置频道功能。</w:t>
      </w:r>
    </w:p>
    <w:p>
      <w:pPr>
        <w:spacing w:before="0" w:afterLines="50" w:line="360" w:lineRule="auto"/>
        <w:ind w:firstLine="560" w:firstLineChars="200"/>
        <w:outlineLvl w:val="2"/>
        <w:rPr>
          <w:rFonts w:ascii="楷体" w:hAnsi="楷体" w:eastAsia="楷体" w:cs="Times New Roman"/>
          <w:sz w:val="28"/>
          <w:szCs w:val="28"/>
          <w:highlight w:val="none"/>
          <w:shd w:val="clear" w:color="auto" w:fill="auto"/>
        </w:rPr>
      </w:pPr>
      <w:r>
        <w:rPr>
          <w:rFonts w:hint="eastAsia" w:ascii="楷体" w:hAnsi="楷体" w:eastAsia="楷体" w:cs="Times New Roman"/>
          <w:sz w:val="28"/>
          <w:szCs w:val="28"/>
          <w:highlight w:val="none"/>
          <w:shd w:val="clear" w:color="auto" w:fill="auto"/>
        </w:rPr>
        <w:t>2.商务条件</w:t>
      </w:r>
      <w:bookmarkEnd w:id="480"/>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2.1交货期</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中标后10日历日内完成供货安装并调试完毕。</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2.2交货地点</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青岛市崂山区国信金融中心酒店</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2.3质量保证期</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t>采购物品自通过验收之日起，</w:t>
      </w:r>
      <w:r>
        <w:rPr>
          <w:rFonts w:hint="eastAsia" w:ascii="仿宋" w:hAnsi="仿宋" w:eastAsia="仿宋" w:cs="Times New Roman"/>
          <w:sz w:val="24"/>
          <w:szCs w:val="24"/>
          <w:highlight w:val="none"/>
          <w:shd w:val="clear" w:color="auto" w:fill="auto"/>
        </w:rPr>
        <w:t>电视整机保修1年，主要零部件3年（主要包括显示屏、背光组件、逻辑组件、高频调谐器）</w:t>
      </w:r>
      <w:r>
        <w:rPr>
          <w:rFonts w:ascii="仿宋" w:hAnsi="仿宋" w:eastAsia="仿宋" w:cs="Times New Roman"/>
          <w:sz w:val="24"/>
          <w:szCs w:val="24"/>
          <w:highlight w:val="none"/>
          <w:shd w:val="clear" w:color="auto" w:fill="auto"/>
        </w:rPr>
        <w:t>，终身维修服务。国家主管部门、行业标准或生产厂家对货物本身有更高要求的，从其规定。</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2.4售后服务</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2.4.1在质量保证期内，如货物出现故障、问题，投标人应负责免费提供保修服务，对于在质保期内维修或更换的零部件应重新计算质保期；在质保期外，投标人为招标人提供有偿服务，维修的零部件按成本价计算，支持维护费按维护当时投标人的市场维护费计算。无论是否在质保期内，投标人均保证在1小时内响应，并在 3小时内解决问题，遇有严重技术问题、重大故障，需现场维护的，投标人应在24小时内到达招标人现场。投标人超过24小时不能完成修复的，招标人有权自行或委托第三方修复，所产生的费用及造成的损失由投标人承担。</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2.4.2在设备调试安装期间或以后，成交人技术书人员应对招标人技术人员进行现场免费培训，向采购人讲授说明设备的安装、操作、保养和应该注意的事项，是招标人技术人员具备操作和必要的调整、维护技能。</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注：上述要求以及标注中：</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1.带“★”条款为实质性条款，投标人必须按照招标文件的要求做出实质性响应。</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hint="eastAsia" w:ascii="仿宋" w:hAnsi="仿宋" w:eastAsia="仿宋" w:cs="Times New Roman"/>
          <w:sz w:val="24"/>
          <w:szCs w:val="24"/>
          <w:highlight w:val="none"/>
          <w:shd w:val="clear" w:color="auto" w:fill="auto"/>
        </w:rPr>
        <w:t>2.下图为</w:t>
      </w:r>
      <w:r>
        <w:rPr>
          <w:rFonts w:ascii="仿宋" w:hAnsi="仿宋" w:eastAsia="仿宋" w:cs="Times New Roman"/>
          <w:sz w:val="24"/>
          <w:szCs w:val="24"/>
          <w:highlight w:val="none"/>
          <w:shd w:val="clear" w:color="auto" w:fill="auto"/>
        </w:rPr>
        <w:t>万能通用落地电视增高脚架</w:t>
      </w:r>
      <w:r>
        <w:rPr>
          <w:rFonts w:hint="eastAsia" w:ascii="仿宋" w:hAnsi="仿宋" w:eastAsia="仿宋" w:cs="Times New Roman"/>
          <w:sz w:val="24"/>
          <w:szCs w:val="24"/>
          <w:highlight w:val="none"/>
          <w:shd w:val="clear" w:color="auto" w:fill="auto"/>
        </w:rPr>
        <w:t>示意图</w:t>
      </w:r>
    </w:p>
    <w:p>
      <w:pPr>
        <w:spacing w:before="0" w:after="0" w:line="360" w:lineRule="auto"/>
        <w:ind w:firstLine="480" w:firstLineChars="200"/>
        <w:rPr>
          <w:rFonts w:ascii="仿宋" w:hAnsi="仿宋" w:eastAsia="仿宋" w:cs="Times New Roman"/>
          <w:sz w:val="24"/>
          <w:szCs w:val="24"/>
          <w:highlight w:val="none"/>
          <w:shd w:val="clear" w:color="auto" w:fill="auto"/>
        </w:rPr>
      </w:pPr>
      <w:r>
        <w:rPr>
          <w:rFonts w:ascii="仿宋" w:hAnsi="仿宋" w:eastAsia="仿宋" w:cs="Times New Roman"/>
          <w:sz w:val="24"/>
          <w:szCs w:val="24"/>
          <w:highlight w:val="none"/>
          <w:shd w:val="clear" w:color="auto" w:fill="auto"/>
        </w:rPr>
        <w:drawing>
          <wp:inline distT="0" distB="0" distL="0" distR="0">
            <wp:extent cx="1664335" cy="2057400"/>
            <wp:effectExtent l="19050" t="0" r="0" b="0"/>
            <wp:docPr id="1" name="图片 1" descr="C:\Users\Lenovo\AppData\Local\Temp\WeChat Files\2a0f15a1fd8a5542361b0a22e573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2a0f15a1fd8a5542361b0a22e573c27.png"/>
                    <pic:cNvPicPr>
                      <a:picLocks noChangeAspect="1" noChangeArrowheads="1"/>
                    </pic:cNvPicPr>
                  </pic:nvPicPr>
                  <pic:blipFill>
                    <a:blip r:embed="rId10" cstate="print"/>
                    <a:srcRect/>
                    <a:stretch>
                      <a:fillRect/>
                    </a:stretch>
                  </pic:blipFill>
                  <pic:spPr>
                    <a:xfrm>
                      <a:off x="0" y="0"/>
                      <a:ext cx="1664359" cy="2057400"/>
                    </a:xfrm>
                    <a:prstGeom prst="rect">
                      <a:avLst/>
                    </a:prstGeom>
                    <a:noFill/>
                    <a:ln w="9525">
                      <a:noFill/>
                      <a:miter lim="800000"/>
                      <a:headEnd/>
                      <a:tailEnd/>
                    </a:ln>
                  </pic:spPr>
                </pic:pic>
              </a:graphicData>
            </a:graphic>
          </wp:inline>
        </w:drawing>
      </w:r>
    </w:p>
    <w:bookmarkEnd w:id="470"/>
    <w:bookmarkEnd w:id="471"/>
    <w:bookmarkEnd w:id="472"/>
    <w:p>
      <w:pPr>
        <w:rPr>
          <w:rFonts w:ascii="Times New Roman" w:hAnsi="Times New Roman" w:cs="Times New Roman"/>
          <w:highlight w:val="none"/>
          <w:shd w:val="clear" w:color="auto" w:fill="auto"/>
        </w:rPr>
      </w:pPr>
      <w:bookmarkStart w:id="481" w:name="_Toc532285514"/>
      <w:bookmarkStart w:id="482" w:name="_Toc499646517"/>
      <w:bookmarkStart w:id="483" w:name="_Toc508806510"/>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rPr>
          <w:rFonts w:ascii="Times New Roman" w:hAnsi="Times New Roman" w:cs="Times New Roman"/>
          <w:highlight w:val="none"/>
          <w:shd w:val="clear" w:color="auto" w:fill="auto"/>
        </w:rPr>
      </w:pPr>
    </w:p>
    <w:p>
      <w:pPr>
        <w:adjustRightInd w:val="0"/>
        <w:spacing w:before="0" w:after="0"/>
        <w:jc w:val="center"/>
        <w:textAlignment w:val="baseline"/>
        <w:outlineLvl w:val="0"/>
        <w:rPr>
          <w:rFonts w:ascii="Times New Roman" w:hAnsi="Times New Roman" w:cs="Times New Roman"/>
          <w:highlight w:val="none"/>
          <w:shd w:val="clear" w:color="auto" w:fill="auto"/>
        </w:rPr>
      </w:pPr>
      <w:bookmarkStart w:id="484" w:name="_Toc60646656"/>
      <w:bookmarkStart w:id="485" w:name="_Toc532388801"/>
      <w:r>
        <w:rPr>
          <w:rFonts w:ascii="Times New Roman" w:hAnsi="Times New Roman" w:eastAsia="黑体" w:cs="Times New Roman"/>
          <w:b/>
          <w:sz w:val="44"/>
          <w:szCs w:val="44"/>
          <w:highlight w:val="none"/>
          <w:shd w:val="clear" w:color="auto" w:fill="auto"/>
        </w:rPr>
        <w:t>第六章 投标文件格式</w:t>
      </w:r>
      <w:bookmarkEnd w:id="481"/>
      <w:bookmarkEnd w:id="482"/>
      <w:bookmarkEnd w:id="483"/>
      <w:bookmarkEnd w:id="484"/>
      <w:bookmarkEnd w:id="485"/>
    </w:p>
    <w:p>
      <w:pPr>
        <w:pStyle w:val="145"/>
        <w:spacing w:before="720" w:after="0" w:line="360" w:lineRule="auto"/>
        <w:jc w:val="center"/>
        <w:rPr>
          <w:rFonts w:ascii="Times New Roman" w:hAnsi="Times New Roman" w:eastAsiaTheme="minorEastAsia"/>
          <w:b/>
          <w:highlight w:val="none"/>
          <w:shd w:val="clear" w:color="auto" w:fill="auto"/>
          <w:lang w:eastAsia="zh-CN"/>
        </w:rPr>
      </w:pPr>
      <w:r>
        <w:rPr>
          <w:rFonts w:ascii="Times New Roman" w:hAnsi="Times New Roman" w:eastAsiaTheme="minorEastAsia"/>
          <w:highlight w:val="none"/>
          <w:shd w:val="clear" w:color="auto" w:fill="auto"/>
          <w:lang w:eastAsia="zh-CN"/>
        </w:rPr>
        <w:br w:type="page"/>
      </w:r>
      <w:bookmarkStart w:id="486" w:name="_Toc152045791"/>
      <w:bookmarkStart w:id="487" w:name="_Toc152042580"/>
      <w:bookmarkStart w:id="488" w:name="_Toc247514283"/>
      <w:bookmarkStart w:id="489" w:name="_Toc144974860"/>
      <w:bookmarkStart w:id="490" w:name="_Toc300835213"/>
      <w:bookmarkStart w:id="491" w:name="_Toc247527831"/>
    </w:p>
    <w:p>
      <w:pPr>
        <w:pStyle w:val="15"/>
        <w:spacing w:before="0" w:after="0"/>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投标文件格式要求说明</w:t>
      </w:r>
    </w:p>
    <w:p>
      <w:pPr>
        <w:pStyle w:val="30"/>
        <w:spacing w:before="0" w:after="0" w:line="360" w:lineRule="auto"/>
        <w:ind w:left="422" w:hanging="422"/>
        <w:rPr>
          <w:rFonts w:ascii="Times New Roman" w:hAnsi="Times New Roman" w:cs="Times New Roman"/>
          <w:kern w:val="0"/>
          <w:szCs w:val="21"/>
          <w:highlight w:val="none"/>
          <w:shd w:val="clear" w:color="auto" w:fill="auto"/>
        </w:rPr>
      </w:pPr>
      <w:r>
        <w:rPr>
          <w:rFonts w:ascii="Times New Roman" w:hAnsi="Times New Roman" w:cs="Times New Roman"/>
          <w:b/>
          <w:szCs w:val="21"/>
          <w:highlight w:val="none"/>
          <w:shd w:val="clear" w:color="auto" w:fill="auto"/>
        </w:rPr>
        <w:t>1.</w:t>
      </w:r>
      <w:r>
        <w:rPr>
          <w:rFonts w:ascii="Times New Roman" w:hAnsi="Times New Roman" w:cs="Times New Roman"/>
          <w:kern w:val="0"/>
          <w:szCs w:val="21"/>
          <w:highlight w:val="none"/>
          <w:shd w:val="clear" w:color="auto" w:fill="auto"/>
        </w:rPr>
        <w:tab/>
      </w:r>
      <w:r>
        <w:rPr>
          <w:rFonts w:ascii="Times New Roman" w:hAnsi="Times New Roman" w:cs="Times New Roman"/>
          <w:kern w:val="0"/>
          <w:szCs w:val="21"/>
          <w:highlight w:val="none"/>
          <w:shd w:val="clear" w:color="auto" w:fill="auto"/>
        </w:rPr>
        <w:t>投标文件应按第六章“投标文件格式”进行编写，如有必要，可以增加附页，作为投标文件的组成部分。其中，投标人可在满足招标文件实质性要求的基础上，提出比招标文件要求更有利于招标人的承诺。</w:t>
      </w:r>
    </w:p>
    <w:p>
      <w:pPr>
        <w:pStyle w:val="30"/>
        <w:spacing w:before="0" w:after="0" w:line="360" w:lineRule="auto"/>
        <w:ind w:left="422" w:hanging="422"/>
        <w:rPr>
          <w:rFonts w:ascii="Times New Roman" w:hAnsi="Times New Roman" w:cs="Times New Roman"/>
          <w:szCs w:val="21"/>
          <w:highlight w:val="none"/>
          <w:shd w:val="clear" w:color="auto" w:fill="auto"/>
        </w:rPr>
      </w:pPr>
      <w:r>
        <w:rPr>
          <w:rFonts w:ascii="Times New Roman" w:hAnsi="Times New Roman" w:cs="Times New Roman"/>
          <w:b/>
          <w:szCs w:val="21"/>
          <w:highlight w:val="none"/>
          <w:shd w:val="clear" w:color="auto" w:fill="auto"/>
        </w:rPr>
        <w:t>2.</w:t>
      </w:r>
      <w:r>
        <w:rPr>
          <w:rFonts w:ascii="Times New Roman" w:hAnsi="Times New Roman" w:cs="Times New Roman"/>
          <w:szCs w:val="21"/>
          <w:highlight w:val="none"/>
          <w:shd w:val="clear" w:color="auto" w:fill="auto"/>
        </w:rPr>
        <w:tab/>
      </w:r>
      <w:r>
        <w:rPr>
          <w:rFonts w:ascii="Times New Roman" w:hAnsi="Times New Roman" w:cs="Times New Roman"/>
          <w:szCs w:val="21"/>
          <w:highlight w:val="none"/>
          <w:shd w:val="clear" w:color="auto" w:fill="auto"/>
        </w:rPr>
        <w:t>投标文件应编制目录，投标文件正文各页应在页脚处填写投标人名称，并不加遗漏的编制相应连续的页码。</w:t>
      </w:r>
    </w:p>
    <w:p>
      <w:pPr>
        <w:pStyle w:val="145"/>
        <w:spacing w:before="0" w:after="0" w:line="360" w:lineRule="auto"/>
        <w:ind w:left="405" w:hanging="405" w:hangingChars="192"/>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b/>
          <w:sz w:val="21"/>
          <w:szCs w:val="21"/>
          <w:highlight w:val="none"/>
          <w:shd w:val="clear" w:color="auto" w:fill="auto"/>
          <w:lang w:eastAsia="zh-CN"/>
        </w:rPr>
        <w:t>3.</w:t>
      </w:r>
      <w:r>
        <w:rPr>
          <w:rFonts w:ascii="Times New Roman" w:hAnsi="Times New Roman" w:eastAsiaTheme="minorEastAsia"/>
          <w:b/>
          <w:sz w:val="21"/>
          <w:szCs w:val="21"/>
          <w:highlight w:val="none"/>
          <w:shd w:val="clear" w:color="auto" w:fill="auto"/>
          <w:lang w:eastAsia="zh-CN"/>
        </w:rPr>
        <w:tab/>
      </w:r>
      <w:r>
        <w:rPr>
          <w:rFonts w:ascii="Times New Roman" w:hAnsi="Times New Roman" w:eastAsiaTheme="minorEastAsia"/>
          <w:sz w:val="21"/>
          <w:szCs w:val="21"/>
          <w:highlight w:val="none"/>
          <w:shd w:val="clear" w:color="auto" w:fill="auto"/>
          <w:lang w:eastAsia="zh-CN"/>
        </w:rPr>
        <w:t>投标人提供的业绩需按投标文件格式要求提供，列出业绩总表及业绩序号，业绩总表后附每项业绩的证明材料，并在每项证明材料前标明“业绩+序号”标题，如：业绩1，业绩2……</w:t>
      </w:r>
    </w:p>
    <w:p>
      <w:pPr>
        <w:widowControl/>
        <w:rPr>
          <w:rFonts w:ascii="Times New Roman" w:hAnsi="Times New Roman" w:eastAsia="Calibri" w:cs="Times New Roman"/>
          <w:kern w:val="0"/>
          <w:sz w:val="22"/>
          <w:highlight w:val="none"/>
          <w:shd w:val="clear" w:color="auto" w:fill="auto"/>
        </w:rPr>
      </w:pPr>
      <w:r>
        <w:rPr>
          <w:rFonts w:ascii="Times New Roman" w:hAnsi="Times New Roman" w:cs="Times New Roman"/>
          <w:highlight w:val="none"/>
          <w:shd w:val="clear" w:color="auto" w:fill="auto"/>
        </w:rPr>
        <w:br w:type="page"/>
      </w:r>
    </w:p>
    <w:p>
      <w:pPr>
        <w:pStyle w:val="15"/>
        <w:adjustRightInd w:val="0"/>
        <w:snapToGrid w:val="0"/>
        <w:spacing w:beforeLines="50"/>
        <w:ind w:firstLine="480" w:firstLineChars="200"/>
        <w:rPr>
          <w:rFonts w:ascii="Times New Roman" w:hAnsi="Times New Roman" w:cs="Times New Roman"/>
          <w:highlight w:val="none"/>
          <w:shd w:val="clear" w:color="auto" w:fill="auto"/>
        </w:rPr>
      </w:pPr>
    </w:p>
    <w:p>
      <w:pPr>
        <w:pStyle w:val="15"/>
        <w:adjustRightInd w:val="0"/>
        <w:snapToGrid w:val="0"/>
        <w:spacing w:beforeLines="50"/>
        <w:ind w:firstLine="480" w:firstLineChars="200"/>
        <w:rPr>
          <w:rFonts w:ascii="Times New Roman" w:hAnsi="Times New Roman" w:cs="Times New Roman"/>
          <w:highlight w:val="none"/>
          <w:shd w:val="clear" w:color="auto" w:fill="auto"/>
        </w:rPr>
      </w:pPr>
    </w:p>
    <w:p>
      <w:pPr>
        <w:pStyle w:val="15"/>
        <w:adjustRightInd w:val="0"/>
        <w:snapToGrid w:val="0"/>
        <w:spacing w:beforeLines="50"/>
        <w:ind w:firstLine="964" w:firstLineChars="200"/>
        <w:jc w:val="center"/>
        <w:rPr>
          <w:rFonts w:ascii="Times New Roman" w:hAnsi="Times New Roman" w:cs="Times New Roman"/>
          <w:b/>
          <w:sz w:val="48"/>
          <w:highlight w:val="none"/>
          <w:u w:val="single"/>
          <w:shd w:val="clear" w:color="auto" w:fill="auto"/>
        </w:rPr>
      </w:pPr>
      <w:r>
        <w:rPr>
          <w:rFonts w:hint="eastAsia" w:ascii="Times New Roman" w:hAnsi="Times New Roman" w:cs="Times New Roman"/>
          <w:b/>
          <w:sz w:val="48"/>
          <w:highlight w:val="none"/>
          <w:u w:val="single"/>
          <w:shd w:val="clear" w:color="auto" w:fill="auto"/>
        </w:rPr>
        <w:t>青岛国信金融中心项目酒店电视采购安装</w:t>
      </w:r>
      <w:r>
        <w:rPr>
          <w:rFonts w:ascii="Times New Roman" w:hAnsi="Times New Roman" w:cs="Times New Roman"/>
          <w:b/>
          <w:sz w:val="48"/>
          <w:highlight w:val="none"/>
          <w:shd w:val="clear" w:color="auto" w:fill="auto"/>
        </w:rPr>
        <w:t>项目招标</w:t>
      </w:r>
    </w:p>
    <w:p>
      <w:pPr>
        <w:pStyle w:val="15"/>
        <w:adjustRightInd w:val="0"/>
        <w:snapToGrid w:val="0"/>
        <w:spacing w:beforeLines="50"/>
        <w:ind w:firstLine="1440" w:firstLineChars="200"/>
        <w:rPr>
          <w:rFonts w:ascii="Times New Roman" w:hAnsi="Times New Roman" w:cs="Times New Roman"/>
          <w:sz w:val="72"/>
          <w:highlight w:val="none"/>
          <w:shd w:val="clear" w:color="auto" w:fill="auto"/>
        </w:rPr>
      </w:pPr>
    </w:p>
    <w:p>
      <w:pPr>
        <w:pStyle w:val="15"/>
        <w:adjustRightInd w:val="0"/>
        <w:snapToGrid w:val="0"/>
        <w:spacing w:beforeLines="50"/>
        <w:ind w:left="119"/>
        <w:jc w:val="center"/>
        <w:rPr>
          <w:rFonts w:ascii="Times New Roman" w:hAnsi="Times New Roman" w:cs="Times New Roman"/>
          <w:sz w:val="84"/>
          <w:szCs w:val="84"/>
          <w:highlight w:val="none"/>
          <w:shd w:val="clear" w:color="auto" w:fill="auto"/>
        </w:rPr>
      </w:pPr>
      <w:r>
        <w:rPr>
          <w:rFonts w:ascii="Times New Roman" w:hAnsi="Times New Roman" w:cs="Times New Roman"/>
          <w:sz w:val="84"/>
          <w:szCs w:val="84"/>
          <w:highlight w:val="none"/>
          <w:shd w:val="clear" w:color="auto" w:fill="auto"/>
        </w:rPr>
        <w:t>投标文件</w:t>
      </w: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项目编号：</w:t>
      </w: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p>
    <w:p>
      <w:pPr>
        <w:pStyle w:val="15"/>
        <w:adjustRightInd w:val="0"/>
        <w:snapToGrid w:val="0"/>
        <w:spacing w:beforeLines="50"/>
        <w:ind w:left="119" w:firstLine="1080" w:firstLineChars="450"/>
        <w:rPr>
          <w:rFonts w:ascii="宋体" w:hAnsi="宋体" w:eastAsia="宋体" w:cs="Times New Roman"/>
          <w:szCs w:val="24"/>
          <w:highlight w:val="none"/>
          <w:shd w:val="clear" w:color="auto" w:fill="auto"/>
        </w:rPr>
      </w:pPr>
      <w:r>
        <w:rPr>
          <w:rFonts w:ascii="宋体" w:hAnsi="宋体" w:eastAsia="宋体" w:cs="Times New Roman"/>
          <w:szCs w:val="24"/>
          <w:highlight w:val="none"/>
          <w:shd w:val="clear" w:color="auto" w:fill="auto"/>
        </w:rPr>
        <w:t>投标文件内容：■商务部分□技术部分</w:t>
      </w:r>
    </w:p>
    <w:p>
      <w:pPr>
        <w:pStyle w:val="15"/>
        <w:adjustRightInd w:val="0"/>
        <w:snapToGrid w:val="0"/>
        <w:spacing w:beforeLines="50"/>
        <w:ind w:left="119" w:firstLine="1080" w:firstLineChars="450"/>
        <w:rPr>
          <w:rFonts w:ascii="宋体" w:hAnsi="宋体" w:eastAsia="宋体" w:cs="Times New Roman"/>
          <w:szCs w:val="24"/>
          <w:highlight w:val="none"/>
          <w:shd w:val="clear" w:color="auto" w:fill="auto"/>
        </w:rPr>
      </w:pPr>
      <w:r>
        <w:rPr>
          <w:rFonts w:ascii="宋体" w:hAnsi="宋体" w:eastAsia="宋体" w:cs="Times New Roman"/>
          <w:szCs w:val="24"/>
          <w:highlight w:val="none"/>
          <w:shd w:val="clear" w:color="auto" w:fill="auto"/>
        </w:rPr>
        <w:t>投标人：</w:t>
      </w:r>
      <w:r>
        <w:rPr>
          <w:rFonts w:ascii="宋体" w:hAnsi="宋体" w:eastAsia="宋体" w:cs="Times New Roman"/>
          <w:szCs w:val="24"/>
          <w:highlight w:val="none"/>
          <w:u w:val="single"/>
          <w:shd w:val="clear" w:color="auto" w:fill="auto"/>
        </w:rPr>
        <w:tab/>
      </w:r>
      <w:r>
        <w:rPr>
          <w:rFonts w:ascii="宋体" w:hAnsi="宋体" w:eastAsia="宋体" w:cs="Times New Roman"/>
          <w:szCs w:val="24"/>
          <w:highlight w:val="none"/>
          <w:u w:val="single"/>
          <w:shd w:val="clear" w:color="auto" w:fill="auto"/>
        </w:rPr>
        <w:t>（盖公章）</w:t>
      </w:r>
    </w:p>
    <w:p>
      <w:pPr>
        <w:ind w:firstLine="1200" w:firstLineChars="500"/>
        <w:rPr>
          <w:rFonts w:ascii="宋体" w:hAnsi="宋体" w:eastAsia="宋体" w:cs="Times New Roman"/>
          <w:sz w:val="24"/>
          <w:szCs w:val="24"/>
          <w:highlight w:val="none"/>
          <w:shd w:val="clear" w:color="auto" w:fill="auto"/>
        </w:rPr>
      </w:pPr>
      <w:r>
        <w:rPr>
          <w:rFonts w:ascii="宋体" w:hAnsi="宋体" w:eastAsia="宋体" w:cs="Times New Roman"/>
          <w:sz w:val="24"/>
          <w:szCs w:val="24"/>
          <w:highlight w:val="none"/>
          <w:shd w:val="clear" w:color="auto" w:fill="auto"/>
        </w:rPr>
        <w:t>日</w:t>
      </w:r>
      <w:r>
        <w:rPr>
          <w:rFonts w:hint="eastAsia" w:ascii="宋体" w:hAnsi="宋体" w:eastAsia="宋体" w:cs="Times New Roman"/>
          <w:sz w:val="24"/>
          <w:szCs w:val="24"/>
          <w:highlight w:val="none"/>
          <w:shd w:val="clear" w:color="auto" w:fill="auto"/>
        </w:rPr>
        <w:t xml:space="preserve">  </w:t>
      </w:r>
      <w:r>
        <w:rPr>
          <w:rFonts w:ascii="宋体" w:hAnsi="宋体" w:eastAsia="宋体" w:cs="Times New Roman"/>
          <w:sz w:val="24"/>
          <w:szCs w:val="24"/>
          <w:highlight w:val="none"/>
          <w:shd w:val="clear" w:color="auto" w:fill="auto"/>
        </w:rPr>
        <w:t>期：</w:t>
      </w:r>
      <w:r>
        <w:rPr>
          <w:rFonts w:hint="eastAsia" w:ascii="宋体" w:hAnsi="宋体" w:eastAsia="宋体" w:cs="Times New Roman"/>
          <w:sz w:val="24"/>
          <w:szCs w:val="24"/>
          <w:highlight w:val="none"/>
          <w:shd w:val="clear" w:color="auto" w:fill="auto"/>
        </w:rPr>
        <w:t xml:space="preserve">  </w:t>
      </w:r>
      <w:r>
        <w:rPr>
          <w:rFonts w:ascii="宋体" w:hAnsi="宋体" w:eastAsia="宋体" w:cs="Times New Roman"/>
          <w:sz w:val="24"/>
          <w:szCs w:val="24"/>
          <w:highlight w:val="none"/>
          <w:shd w:val="clear" w:color="auto" w:fill="auto"/>
        </w:rPr>
        <w:t xml:space="preserve">  年</w:t>
      </w:r>
      <w:r>
        <w:rPr>
          <w:rFonts w:hint="eastAsia" w:ascii="宋体" w:hAnsi="宋体" w:eastAsia="宋体" w:cs="Times New Roman"/>
          <w:sz w:val="24"/>
          <w:szCs w:val="24"/>
          <w:highlight w:val="none"/>
          <w:shd w:val="clear" w:color="auto" w:fill="auto"/>
        </w:rPr>
        <w:t xml:space="preserve">  </w:t>
      </w:r>
      <w:r>
        <w:rPr>
          <w:rFonts w:ascii="宋体" w:hAnsi="宋体" w:eastAsia="宋体" w:cs="Times New Roman"/>
          <w:sz w:val="24"/>
          <w:szCs w:val="24"/>
          <w:highlight w:val="none"/>
          <w:shd w:val="clear" w:color="auto" w:fill="auto"/>
        </w:rPr>
        <w:t>月</w:t>
      </w:r>
      <w:r>
        <w:rPr>
          <w:rFonts w:hint="eastAsia" w:ascii="宋体" w:hAnsi="宋体" w:eastAsia="宋体" w:cs="Times New Roman"/>
          <w:sz w:val="24"/>
          <w:szCs w:val="24"/>
          <w:highlight w:val="none"/>
          <w:shd w:val="clear" w:color="auto" w:fill="auto"/>
        </w:rPr>
        <w:t xml:space="preserve">  </w:t>
      </w:r>
      <w:r>
        <w:rPr>
          <w:rFonts w:ascii="宋体" w:hAnsi="宋体" w:eastAsia="宋体" w:cs="Times New Roman"/>
          <w:sz w:val="24"/>
          <w:szCs w:val="24"/>
          <w:highlight w:val="none"/>
          <w:shd w:val="clear" w:color="auto" w:fill="auto"/>
        </w:rPr>
        <w:t>日</w:t>
      </w:r>
    </w:p>
    <w:p>
      <w:pPr>
        <w:jc w:val="center"/>
        <w:rPr>
          <w:rFonts w:ascii="Times New Roman" w:hAnsi="Times New Roman" w:cs="Times New Roman"/>
          <w:sz w:val="28"/>
          <w:highlight w:val="none"/>
          <w:shd w:val="clear" w:color="auto" w:fill="auto"/>
        </w:rPr>
      </w:pPr>
    </w:p>
    <w:p>
      <w:pPr>
        <w:pStyle w:val="145"/>
        <w:spacing w:before="0" w:after="0" w:line="360" w:lineRule="auto"/>
        <w:jc w:val="center"/>
        <w:rPr>
          <w:rFonts w:ascii="Times New Roman" w:hAnsi="Times New Roman" w:eastAsiaTheme="minorEastAsia"/>
          <w:sz w:val="32"/>
          <w:szCs w:val="32"/>
          <w:highlight w:val="none"/>
          <w:shd w:val="clear" w:color="auto" w:fill="auto"/>
          <w:lang w:eastAsia="zh-CN"/>
        </w:rPr>
      </w:pPr>
      <w:r>
        <w:rPr>
          <w:rFonts w:ascii="Times New Roman" w:hAnsi="Times New Roman" w:eastAsiaTheme="minorEastAsia"/>
          <w:sz w:val="32"/>
          <w:szCs w:val="32"/>
          <w:highlight w:val="none"/>
          <w:shd w:val="clear" w:color="auto" w:fill="auto"/>
          <w:lang w:eastAsia="zh-CN"/>
        </w:rPr>
        <w:br w:type="page"/>
      </w:r>
      <w:bookmarkStart w:id="492" w:name="_Toc505001531"/>
      <w:bookmarkStart w:id="493" w:name="_Toc508806511"/>
    </w:p>
    <w:p>
      <w:pPr>
        <w:pStyle w:val="86"/>
        <w:adjustRightInd w:val="0"/>
        <w:snapToGrid w:val="0"/>
        <w:spacing w:beforeLines="100" w:afterLines="100"/>
        <w:ind w:firstLine="0" w:firstLineChars="0"/>
        <w:jc w:val="center"/>
        <w:outlineLvl w:val="1"/>
        <w:rPr>
          <w:rFonts w:ascii="黑体" w:hAnsi="黑体" w:eastAsia="黑体" w:cs="Times New Roman"/>
          <w:sz w:val="28"/>
          <w:szCs w:val="28"/>
          <w:highlight w:val="none"/>
          <w:shd w:val="clear" w:color="auto" w:fill="auto"/>
        </w:rPr>
      </w:pPr>
      <w:bookmarkStart w:id="494" w:name="_Toc532388802"/>
      <w:bookmarkStart w:id="495" w:name="_Toc60646657"/>
      <w:bookmarkStart w:id="496" w:name="_Toc532285515"/>
      <w:r>
        <w:rPr>
          <w:rFonts w:ascii="黑体" w:hAnsi="黑体" w:eastAsia="黑体" w:cs="Times New Roman"/>
          <w:sz w:val="28"/>
          <w:szCs w:val="28"/>
          <w:highlight w:val="none"/>
          <w:shd w:val="clear" w:color="auto" w:fill="auto"/>
        </w:rPr>
        <w:t>第一部分 商务部分</w:t>
      </w:r>
      <w:bookmarkEnd w:id="494"/>
      <w:bookmarkEnd w:id="495"/>
    </w:p>
    <w:p>
      <w:pPr>
        <w:pStyle w:val="4"/>
        <w:rPr>
          <w:rFonts w:ascii="Times New Roman" w:hAnsi="Times New Roman" w:eastAsia="黑体" w:cs="Times New Roman"/>
          <w:sz w:val="32"/>
          <w:highlight w:val="none"/>
          <w:shd w:val="clear" w:color="auto" w:fill="auto"/>
        </w:rPr>
      </w:pPr>
      <w:r>
        <w:rPr>
          <w:rFonts w:ascii="Times New Roman" w:hAnsi="Times New Roman" w:eastAsia="黑体" w:cs="Times New Roman"/>
          <w:sz w:val="32"/>
          <w:highlight w:val="none"/>
          <w:shd w:val="clear" w:color="auto" w:fill="auto"/>
        </w:rPr>
        <w:t>1.投标</w:t>
      </w:r>
      <w:bookmarkStart w:id="497" w:name="_Toc352691656"/>
      <w:bookmarkStart w:id="498" w:name="_Toc6931"/>
      <w:bookmarkStart w:id="499" w:name="_Toc369531692"/>
      <w:r>
        <w:rPr>
          <w:rFonts w:ascii="Times New Roman" w:hAnsi="Times New Roman" w:eastAsia="黑体" w:cs="Times New Roman"/>
          <w:sz w:val="32"/>
          <w:highlight w:val="none"/>
          <w:shd w:val="clear" w:color="auto" w:fill="auto"/>
        </w:rPr>
        <w:t>函</w:t>
      </w:r>
      <w:bookmarkEnd w:id="492"/>
      <w:bookmarkEnd w:id="493"/>
      <w:bookmarkEnd w:id="496"/>
    </w:p>
    <w:bookmarkEnd w:id="497"/>
    <w:bookmarkEnd w:id="498"/>
    <w:bookmarkEnd w:id="499"/>
    <w:p>
      <w:pPr>
        <w:spacing w:before="0" w:after="0"/>
        <w:jc w:val="center"/>
        <w:rPr>
          <w:rFonts w:ascii="Times New Roman" w:hAnsi="Times New Roman" w:cs="Times New Roman"/>
          <w:b/>
          <w:szCs w:val="21"/>
          <w:highlight w:val="none"/>
          <w:shd w:val="clear" w:color="auto" w:fill="auto"/>
        </w:rPr>
      </w:pPr>
      <w:bookmarkStart w:id="500" w:name="_Toc391394111"/>
      <w:bookmarkStart w:id="501" w:name="_Toc501460665"/>
      <w:bookmarkStart w:id="502" w:name="_Toc370676426"/>
      <w:bookmarkStart w:id="503" w:name="_Toc482188651"/>
      <w:bookmarkStart w:id="504" w:name="_Toc385943065"/>
      <w:bookmarkStart w:id="505" w:name="_Toc359594235"/>
      <w:r>
        <w:rPr>
          <w:rFonts w:ascii="Times New Roman" w:hAnsi="Times New Roman" w:cs="Times New Roman"/>
          <w:b/>
          <w:szCs w:val="21"/>
          <w:highlight w:val="none"/>
          <w:shd w:val="clear" w:color="auto" w:fill="auto"/>
        </w:rPr>
        <w:t>投标函</w:t>
      </w:r>
      <w:bookmarkEnd w:id="500"/>
      <w:bookmarkEnd w:id="501"/>
      <w:bookmarkEnd w:id="502"/>
      <w:bookmarkEnd w:id="503"/>
      <w:bookmarkEnd w:id="504"/>
      <w:bookmarkEnd w:id="505"/>
    </w:p>
    <w:p>
      <w:pPr>
        <w:spacing w:before="0" w:after="0" w:line="360" w:lineRule="auto"/>
        <w:rPr>
          <w:rFonts w:ascii="Times New Roman" w:hAnsi="Times New Roman" w:cs="Times New Roman"/>
          <w:szCs w:val="21"/>
          <w:highlight w:val="none"/>
          <w:shd w:val="clear" w:color="auto" w:fill="auto"/>
        </w:rPr>
      </w:pPr>
      <w:r>
        <w:rPr>
          <w:rFonts w:ascii="Times New Roman" w:hAnsi="Times New Roman" w:cs="Times New Roman"/>
          <w:spacing w:val="1"/>
          <w:szCs w:val="21"/>
          <w:highlight w:val="none"/>
          <w:shd w:val="clear" w:color="auto" w:fill="auto"/>
        </w:rPr>
        <w:t>_________</w:t>
      </w:r>
      <w:r>
        <w:rPr>
          <w:rFonts w:ascii="Times New Roman" w:hAnsi="Times New Roman" w:cs="Times New Roman"/>
          <w:szCs w:val="21"/>
          <w:highlight w:val="none"/>
          <w:shd w:val="clear" w:color="auto" w:fill="auto"/>
        </w:rPr>
        <w:t>（招标人名称）：</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1．</w:t>
      </w:r>
      <w:r>
        <w:rPr>
          <w:rFonts w:ascii="Times New Roman" w:hAnsi="Times New Roman" w:cs="Times New Roman"/>
          <w:highlight w:val="none"/>
          <w:shd w:val="clear" w:color="auto" w:fill="auto"/>
        </w:rPr>
        <w:t>我方已仔细研究了</w:t>
      </w:r>
      <w:r>
        <w:rPr>
          <w:rFonts w:ascii="Times New Roman" w:hAnsi="Times New Roman" w:cs="Times New Roman"/>
          <w:spacing w:val="1"/>
          <w:szCs w:val="21"/>
          <w:highlight w:val="none"/>
          <w:shd w:val="clear" w:color="auto" w:fill="auto"/>
        </w:rPr>
        <w:t>_________</w:t>
      </w:r>
      <w:r>
        <w:rPr>
          <w:rFonts w:ascii="Times New Roman" w:hAnsi="Times New Roman" w:cs="Times New Roman"/>
          <w:highlight w:val="none"/>
          <w:shd w:val="clear" w:color="auto" w:fill="auto"/>
        </w:rPr>
        <w:t>（项目名称）</w:t>
      </w:r>
      <w:r>
        <w:rPr>
          <w:rFonts w:ascii="Times New Roman" w:hAnsi="Times New Roman" w:cs="Times New Roman"/>
          <w:spacing w:val="1"/>
          <w:szCs w:val="21"/>
          <w:highlight w:val="none"/>
          <w:shd w:val="clear" w:color="auto" w:fill="auto"/>
        </w:rPr>
        <w:t>______</w:t>
      </w:r>
      <w:r>
        <w:rPr>
          <w:rFonts w:ascii="Times New Roman" w:hAnsi="Times New Roman" w:cs="Times New Roman"/>
          <w:highlight w:val="none"/>
          <w:shd w:val="clear" w:color="auto" w:fill="auto"/>
        </w:rPr>
        <w:t>标段货物采购招标项目招标文件的全部内容，愿意</w:t>
      </w:r>
      <w:r>
        <w:rPr>
          <w:rFonts w:ascii="Times New Roman" w:hAnsi="Times New Roman" w:cs="Times New Roman"/>
          <w:szCs w:val="21"/>
          <w:highlight w:val="none"/>
          <w:shd w:val="clear" w:color="auto" w:fill="auto"/>
        </w:rPr>
        <w:t>按照招标文件要求的所有内容完成标段的工作。</w:t>
      </w:r>
    </w:p>
    <w:p>
      <w:pPr>
        <w:spacing w:before="0" w:after="0" w:line="360" w:lineRule="auto"/>
        <w:ind w:firstLine="420" w:firstLineChars="20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2. 我方的投标文件包括下列内容：</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（1）商务部分</w:t>
      </w:r>
    </w:p>
    <w:p>
      <w:pPr>
        <w:spacing w:before="0" w:after="0" w:line="360" w:lineRule="auto"/>
        <w:ind w:firstLine="405"/>
        <w:rPr>
          <w:rFonts w:ascii="Times New Roman" w:hAnsi="Times New Roman" w:cs="Times New Roman"/>
          <w:szCs w:val="21"/>
          <w:highlight w:val="none"/>
          <w:shd w:val="clear" w:color="auto" w:fill="auto"/>
        </w:rPr>
      </w:pPr>
      <w:r>
        <w:rPr>
          <w:rFonts w:hint="eastAsia" w:ascii="宋体" w:hAnsi="宋体" w:eastAsia="宋体" w:cs="宋体"/>
          <w:szCs w:val="21"/>
          <w:highlight w:val="none"/>
          <w:shd w:val="clear" w:color="auto" w:fill="auto"/>
        </w:rPr>
        <w:t>①</w:t>
      </w:r>
      <w:r>
        <w:rPr>
          <w:rFonts w:ascii="Times New Roman" w:hAnsi="Times New Roman" w:cs="Times New Roman"/>
          <w:szCs w:val="21"/>
          <w:highlight w:val="none"/>
          <w:shd w:val="clear" w:color="auto" w:fill="auto"/>
        </w:rPr>
        <w:t>投标函；</w:t>
      </w:r>
    </w:p>
    <w:p>
      <w:pPr>
        <w:spacing w:before="0" w:after="0" w:line="360" w:lineRule="auto"/>
        <w:ind w:firstLine="405"/>
        <w:rPr>
          <w:rFonts w:ascii="Times New Roman" w:hAnsi="Times New Roman" w:cs="Times New Roman"/>
          <w:szCs w:val="21"/>
          <w:highlight w:val="none"/>
          <w:shd w:val="clear" w:color="auto" w:fill="auto"/>
        </w:rPr>
      </w:pPr>
      <w:r>
        <w:rPr>
          <w:rFonts w:hint="eastAsia" w:ascii="宋体" w:hAnsi="宋体" w:eastAsia="宋体" w:cs="宋体"/>
          <w:szCs w:val="21"/>
          <w:highlight w:val="none"/>
          <w:shd w:val="clear" w:color="auto" w:fill="auto"/>
        </w:rPr>
        <w:t>②</w:t>
      </w:r>
      <w:r>
        <w:rPr>
          <w:rFonts w:ascii="Times New Roman" w:hAnsi="Times New Roman" w:cs="Times New Roman"/>
          <w:szCs w:val="21"/>
          <w:highlight w:val="none"/>
          <w:shd w:val="clear" w:color="auto" w:fill="auto"/>
        </w:rPr>
        <w:t>授权委托书；</w:t>
      </w:r>
    </w:p>
    <w:p>
      <w:pPr>
        <w:spacing w:before="0" w:after="0" w:line="360" w:lineRule="auto"/>
        <w:ind w:firstLine="405"/>
        <w:rPr>
          <w:rFonts w:ascii="Times New Roman" w:hAnsi="Times New Roman" w:cs="Times New Roman"/>
          <w:szCs w:val="21"/>
          <w:highlight w:val="none"/>
          <w:shd w:val="clear" w:color="auto" w:fill="auto"/>
        </w:rPr>
      </w:pPr>
      <w:r>
        <w:rPr>
          <w:rFonts w:hint="eastAsia" w:ascii="宋体" w:hAnsi="宋体" w:eastAsia="宋体" w:cs="宋体"/>
          <w:szCs w:val="21"/>
          <w:highlight w:val="none"/>
          <w:shd w:val="clear" w:color="auto" w:fill="auto"/>
        </w:rPr>
        <w:t>③</w:t>
      </w:r>
      <w:r>
        <w:rPr>
          <w:rFonts w:ascii="Times New Roman" w:hAnsi="Times New Roman" w:cs="Times New Roman"/>
          <w:szCs w:val="21"/>
          <w:highlight w:val="none"/>
          <w:shd w:val="clear" w:color="auto" w:fill="auto"/>
        </w:rPr>
        <w:t>联合体协议书（如有）；</w:t>
      </w:r>
    </w:p>
    <w:p>
      <w:pPr>
        <w:spacing w:before="0" w:after="0" w:line="360" w:lineRule="auto"/>
        <w:ind w:firstLine="405"/>
        <w:rPr>
          <w:rFonts w:ascii="Times New Roman" w:hAnsi="Times New Roman" w:cs="Times New Roman"/>
          <w:szCs w:val="21"/>
          <w:highlight w:val="none"/>
          <w:shd w:val="clear" w:color="auto" w:fill="auto"/>
        </w:rPr>
      </w:pPr>
      <w:r>
        <w:rPr>
          <w:rFonts w:hint="eastAsia" w:ascii="宋体" w:hAnsi="宋体" w:eastAsia="宋体" w:cs="宋体"/>
          <w:szCs w:val="21"/>
          <w:highlight w:val="none"/>
          <w:shd w:val="clear" w:color="auto" w:fill="auto"/>
        </w:rPr>
        <w:t>④</w:t>
      </w:r>
      <w:r>
        <w:rPr>
          <w:rFonts w:ascii="Times New Roman" w:hAnsi="Times New Roman" w:cs="Times New Roman"/>
          <w:szCs w:val="21"/>
          <w:highlight w:val="none"/>
          <w:shd w:val="clear" w:color="auto" w:fill="auto"/>
        </w:rPr>
        <w:t>投标保证金；</w:t>
      </w:r>
    </w:p>
    <w:p>
      <w:pPr>
        <w:spacing w:before="0" w:after="0" w:line="360" w:lineRule="auto"/>
        <w:ind w:firstLine="405"/>
        <w:rPr>
          <w:rFonts w:ascii="Times New Roman" w:hAnsi="Times New Roman" w:cs="Times New Roman"/>
          <w:szCs w:val="21"/>
          <w:highlight w:val="none"/>
          <w:shd w:val="clear" w:color="auto" w:fill="auto"/>
        </w:rPr>
      </w:pPr>
      <w:r>
        <w:rPr>
          <w:rFonts w:hint="eastAsia" w:ascii="宋体" w:hAnsi="宋体" w:eastAsia="宋体" w:cs="宋体"/>
          <w:szCs w:val="21"/>
          <w:highlight w:val="none"/>
          <w:shd w:val="clear" w:color="auto" w:fill="auto"/>
        </w:rPr>
        <w:t>⑤</w:t>
      </w:r>
      <w:r>
        <w:rPr>
          <w:rFonts w:ascii="Times New Roman" w:hAnsi="Times New Roman" w:cs="Times New Roman"/>
          <w:szCs w:val="21"/>
          <w:highlight w:val="none"/>
          <w:shd w:val="clear" w:color="auto" w:fill="auto"/>
        </w:rPr>
        <w:t>资格审查资料；</w:t>
      </w:r>
    </w:p>
    <w:p>
      <w:pPr>
        <w:spacing w:before="0" w:after="0" w:line="360" w:lineRule="auto"/>
        <w:ind w:firstLine="405"/>
        <w:rPr>
          <w:rFonts w:ascii="Times New Roman" w:hAnsi="Times New Roman" w:cs="Times New Roman"/>
          <w:szCs w:val="21"/>
          <w:highlight w:val="none"/>
          <w:shd w:val="clear" w:color="auto" w:fill="auto"/>
        </w:rPr>
      </w:pPr>
      <w:r>
        <w:rPr>
          <w:rFonts w:hint="eastAsia" w:ascii="宋体" w:hAnsi="宋体" w:eastAsia="宋体" w:cs="宋体"/>
          <w:szCs w:val="21"/>
          <w:highlight w:val="none"/>
          <w:shd w:val="clear" w:color="auto" w:fill="auto"/>
        </w:rPr>
        <w:t>⑥</w:t>
      </w:r>
      <w:r>
        <w:rPr>
          <w:rFonts w:ascii="Times New Roman" w:hAnsi="Times New Roman" w:cs="Times New Roman"/>
          <w:szCs w:val="21"/>
          <w:highlight w:val="none"/>
          <w:shd w:val="clear" w:color="auto" w:fill="auto"/>
        </w:rPr>
        <w:t>制造商授权书（如有）</w:t>
      </w:r>
    </w:p>
    <w:p>
      <w:pPr>
        <w:spacing w:before="0" w:after="0" w:line="360" w:lineRule="auto"/>
        <w:ind w:firstLine="405"/>
        <w:rPr>
          <w:rFonts w:ascii="Times New Roman" w:hAnsi="Times New Roman" w:cs="Times New Roman"/>
          <w:szCs w:val="21"/>
          <w:highlight w:val="none"/>
          <w:shd w:val="clear" w:color="auto" w:fill="auto"/>
        </w:rPr>
      </w:pPr>
      <w:r>
        <w:rPr>
          <w:rFonts w:hint="eastAsia" w:ascii="宋体" w:hAnsi="宋体" w:eastAsia="宋体" w:cs="宋体"/>
          <w:szCs w:val="21"/>
          <w:highlight w:val="none"/>
          <w:shd w:val="clear" w:color="auto" w:fill="auto"/>
        </w:rPr>
        <w:t>⑦</w:t>
      </w:r>
      <w:r>
        <w:rPr>
          <w:rFonts w:ascii="Times New Roman" w:hAnsi="Times New Roman" w:cs="Times New Roman"/>
          <w:szCs w:val="21"/>
          <w:highlight w:val="none"/>
          <w:shd w:val="clear" w:color="auto" w:fill="auto"/>
        </w:rPr>
        <w:t>商务条款差异表</w:t>
      </w:r>
    </w:p>
    <w:p>
      <w:pPr>
        <w:spacing w:before="0" w:after="0" w:line="360" w:lineRule="auto"/>
        <w:ind w:firstLine="405"/>
        <w:rPr>
          <w:rFonts w:ascii="Times New Roman" w:hAnsi="Times New Roman" w:cs="Times New Roman"/>
          <w:szCs w:val="21"/>
          <w:highlight w:val="none"/>
          <w:shd w:val="clear" w:color="auto" w:fill="auto"/>
        </w:rPr>
      </w:pPr>
      <w:r>
        <w:rPr>
          <w:rFonts w:hint="eastAsia" w:ascii="宋体" w:hAnsi="宋体" w:eastAsia="宋体" w:cs="宋体"/>
          <w:szCs w:val="21"/>
          <w:highlight w:val="none"/>
          <w:shd w:val="clear" w:color="auto" w:fill="auto"/>
        </w:rPr>
        <w:t>⑧</w:t>
      </w:r>
      <w:r>
        <w:rPr>
          <w:rFonts w:ascii="Times New Roman" w:hAnsi="Times New Roman" w:cs="Times New Roman"/>
          <w:szCs w:val="21"/>
          <w:highlight w:val="none"/>
          <w:shd w:val="clear" w:color="auto" w:fill="auto"/>
        </w:rPr>
        <w:t>其他文件和资料；</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（2）技术部分</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投标文件的上述组成部分如存在内容不一致的，以投标函为准。</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3．我方承诺除商务和技术偏差表列出的偏差外，我方响应招标文件的全部要求。</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4．我方承诺在招标文件规定的投标有效期内不撤销投标文件，若在投标有效期内撤回投标，我公司的投标保证金贵方有权不予退还。</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5．如我方中标，我方承诺：</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（1）在收到中标通知书后，在中标通知书规定的期限内与你方签订合同；</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（2）在签订合同时不向你方提出附加条件；</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（3）按照招标文件要求提交履约保证金；</w:t>
      </w:r>
      <w:bookmarkStart w:id="506" w:name="_Toc352691658"/>
      <w:bookmarkStart w:id="507" w:name="_Toc369531694"/>
      <w:bookmarkStart w:id="508" w:name="_Toc1187"/>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w:t>
      </w:r>
      <w:bookmarkEnd w:id="506"/>
      <w:bookmarkEnd w:id="507"/>
      <w:bookmarkEnd w:id="508"/>
      <w:r>
        <w:rPr>
          <w:rFonts w:ascii="Times New Roman" w:hAnsi="Times New Roman" w:cs="Times New Roman"/>
          <w:szCs w:val="21"/>
          <w:highlight w:val="none"/>
          <w:shd w:val="clear" w:color="auto" w:fill="auto"/>
        </w:rPr>
        <w:t>4）在合同约定的期限内完成合同规定的全部义务；</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（5）我方已详细审查全部招标文件，包括招标文件的澄清资料和补充资料。我方完全理解和接受招标文件的一切规定和要求，并同意放弃对这方面有不明及误解的权力；</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（6）本投标有效期满足招标文件要求；</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（7）我方同意提供按照贵方可能要求的与其投标有关的一切数据或资料，完全理解贵方不一定接受最低价的投标或收到的任何投标；</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（8）若我方获得中标，我方保证按有关规定支付招标服务费，并同意从我公司所递交的投标保证金中直接扣除招标服务费，对此我方无任何异议；</w:t>
      </w:r>
    </w:p>
    <w:p>
      <w:pPr>
        <w:spacing w:before="0" w:after="0" w:line="360" w:lineRule="auto"/>
        <w:ind w:firstLine="405"/>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（9）招标文件第五章供货要求中规定的主要人员最低要求（如有）我方完全满足，我方将在签订合同前提交详细名单及证件等资料，否则视为我方弄虚作假骗取中标。</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6．我方在此声明，所递交的投标文件及有关资料内容完整、真实和准确，且不存在第二章“投标人须知”第1.4.3项规定的任何一种情形。</w:t>
      </w:r>
    </w:p>
    <w:p>
      <w:pPr>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7．</w:t>
      </w:r>
      <w:r>
        <w:rPr>
          <w:rFonts w:ascii="Times New Roman" w:hAnsi="Times New Roman" w:cs="Times New Roman"/>
          <w:spacing w:val="1"/>
          <w:szCs w:val="21"/>
          <w:highlight w:val="none"/>
          <w:shd w:val="clear" w:color="auto" w:fill="auto"/>
        </w:rPr>
        <w:t>_________</w:t>
      </w:r>
      <w:r>
        <w:rPr>
          <w:rFonts w:ascii="Times New Roman" w:hAnsi="Times New Roman" w:cs="Times New Roman"/>
          <w:szCs w:val="21"/>
          <w:highlight w:val="none"/>
          <w:shd w:val="clear" w:color="auto" w:fill="auto"/>
        </w:rPr>
        <w:t>（其他补充说明）。</w:t>
      </w:r>
      <w:bookmarkStart w:id="509" w:name="_Toc16568"/>
      <w:bookmarkEnd w:id="509"/>
      <w:bookmarkStart w:id="510" w:name="_Toc352691660"/>
      <w:bookmarkEnd w:id="510"/>
      <w:bookmarkStart w:id="511" w:name="_Toc369531695"/>
      <w:bookmarkEnd w:id="511"/>
      <w:bookmarkStart w:id="512" w:name="_Toc352691659"/>
      <w:bookmarkEnd w:id="512"/>
      <w:bookmarkStart w:id="513" w:name="_Toc369531696"/>
      <w:bookmarkEnd w:id="513"/>
      <w:bookmarkStart w:id="514" w:name="_Toc16824"/>
      <w:bookmarkEnd w:id="514"/>
    </w:p>
    <w:p>
      <w:pPr>
        <w:spacing w:before="0" w:after="0" w:line="360" w:lineRule="auto"/>
        <w:ind w:firstLine="420" w:firstLineChars="200"/>
        <w:rPr>
          <w:rFonts w:ascii="Times New Roman" w:hAnsi="Times New Roman" w:cs="Times New Roman"/>
          <w:szCs w:val="21"/>
          <w:highlight w:val="none"/>
          <w:shd w:val="clear" w:color="auto" w:fill="auto"/>
        </w:rPr>
      </w:pPr>
    </w:p>
    <w:p>
      <w:pPr>
        <w:wordWrap w:val="0"/>
        <w:adjustRightInd w:val="0"/>
        <w:snapToGrid w:val="0"/>
        <w:spacing w:line="360" w:lineRule="auto"/>
        <w:ind w:firstLine="420" w:firstLineChars="200"/>
        <w:jc w:val="right"/>
        <w:rPr>
          <w:rFonts w:ascii="Times New Roman" w:hAnsi="Times New Roman" w:cs="Times New Roman"/>
          <w:szCs w:val="21"/>
          <w:highlight w:val="none"/>
          <w:shd w:val="clear" w:color="auto" w:fill="auto"/>
        </w:rPr>
      </w:pPr>
    </w:p>
    <w:p>
      <w:pPr>
        <w:adjustRightInd w:val="0"/>
        <w:snapToGrid w:val="0"/>
        <w:spacing w:line="360" w:lineRule="auto"/>
        <w:ind w:right="135"/>
        <w:jc w:val="right"/>
        <w:rPr>
          <w:rFonts w:ascii="Times New Roman" w:hAnsi="Times New Roman" w:cs="Times New Roman"/>
          <w:szCs w:val="21"/>
          <w:highlight w:val="none"/>
          <w:shd w:val="clear" w:color="auto" w:fill="auto"/>
        </w:rPr>
      </w:pPr>
    </w:p>
    <w:bookmarkEnd w:id="486"/>
    <w:bookmarkEnd w:id="487"/>
    <w:bookmarkEnd w:id="488"/>
    <w:bookmarkEnd w:id="489"/>
    <w:bookmarkEnd w:id="490"/>
    <w:bookmarkEnd w:id="491"/>
    <w:p>
      <w:pPr>
        <w:pStyle w:val="4"/>
        <w:rPr>
          <w:rFonts w:ascii="Times New Roman" w:hAnsi="Times New Roman" w:eastAsia="黑体" w:cs="Times New Roman"/>
          <w:sz w:val="32"/>
          <w:highlight w:val="none"/>
          <w:shd w:val="clear" w:color="auto" w:fill="auto"/>
        </w:rPr>
      </w:pPr>
      <w:r>
        <w:rPr>
          <w:rFonts w:ascii="Times New Roman" w:hAnsi="Times New Roman" w:cs="Times New Roman"/>
          <w:sz w:val="28"/>
          <w:szCs w:val="28"/>
          <w:highlight w:val="none"/>
          <w:shd w:val="clear" w:color="auto" w:fill="auto"/>
        </w:rPr>
        <w:br w:type="page"/>
      </w:r>
      <w:bookmarkStart w:id="515" w:name="_Toc505001532"/>
      <w:bookmarkStart w:id="516" w:name="_Toc532285516"/>
      <w:bookmarkStart w:id="517" w:name="_Toc508806512"/>
      <w:r>
        <w:rPr>
          <w:rFonts w:ascii="Times New Roman" w:hAnsi="Times New Roman" w:eastAsia="黑体" w:cs="Times New Roman"/>
          <w:sz w:val="32"/>
          <w:highlight w:val="none"/>
          <w:shd w:val="clear" w:color="auto" w:fill="auto"/>
        </w:rPr>
        <w:t>2.授权委托书</w:t>
      </w:r>
      <w:bookmarkEnd w:id="515"/>
      <w:bookmarkEnd w:id="516"/>
      <w:bookmarkEnd w:id="517"/>
    </w:p>
    <w:p>
      <w:pPr>
        <w:spacing w:line="360" w:lineRule="auto"/>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授权委托书</w:t>
      </w:r>
    </w:p>
    <w:p>
      <w:pPr>
        <w:topLinePunct/>
        <w:spacing w:before="0" w:after="0" w:line="360" w:lineRule="auto"/>
        <w:ind w:firstLine="420" w:firstLineChars="200"/>
        <w:rPr>
          <w:rFonts w:ascii="Times New Roman" w:hAnsi="Times New Roman" w:cs="Times New Roman"/>
          <w:highlight w:val="none"/>
          <w:shd w:val="clear" w:color="auto" w:fill="auto"/>
        </w:rPr>
      </w:pPr>
      <w:r>
        <w:rPr>
          <w:rFonts w:ascii="Times New Roman" w:hAnsi="Times New Roman" w:cs="Times New Roman"/>
          <w:szCs w:val="21"/>
          <w:highlight w:val="none"/>
          <w:shd w:val="clear" w:color="auto" w:fill="auto"/>
        </w:rPr>
        <w:t>本人</w:t>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shd w:val="clear" w:color="auto" w:fill="auto"/>
        </w:rPr>
        <w:t>（姓名）系</w:t>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shd w:val="clear" w:color="auto" w:fill="auto"/>
        </w:rPr>
        <w:t>（投标人</w:t>
      </w:r>
      <w:r>
        <w:rPr>
          <w:rFonts w:ascii="Times New Roman" w:hAnsi="Times New Roman" w:cs="Times New Roman"/>
          <w:highlight w:val="none"/>
          <w:shd w:val="clear" w:color="auto" w:fill="auto"/>
        </w:rPr>
        <w:t>或联合体牵头人名称</w:t>
      </w:r>
      <w:r>
        <w:rPr>
          <w:rFonts w:ascii="Times New Roman" w:hAnsi="Times New Roman" w:cs="Times New Roman"/>
          <w:szCs w:val="21"/>
          <w:highlight w:val="none"/>
          <w:shd w:val="clear" w:color="auto" w:fill="auto"/>
        </w:rPr>
        <w:t>名称）的法定代表人，</w:t>
      </w:r>
      <w:r>
        <w:rPr>
          <w:rFonts w:ascii="Times New Roman" w:hAnsi="Times New Roman" w:cs="Times New Roman"/>
          <w:highlight w:val="none"/>
          <w:shd w:val="clear" w:color="auto" w:fill="auto"/>
        </w:rPr>
        <w:t>现授权</w:t>
      </w:r>
      <w:r>
        <w:rPr>
          <w:rFonts w:ascii="Times New Roman" w:hAnsi="Times New Roman" w:cs="Times New Roman"/>
          <w:spacing w:val="1"/>
          <w:szCs w:val="21"/>
          <w:highlight w:val="none"/>
          <w:shd w:val="clear" w:color="auto" w:fill="auto"/>
        </w:rPr>
        <w:t>_________</w:t>
      </w:r>
      <w:r>
        <w:rPr>
          <w:rFonts w:ascii="Times New Roman" w:hAnsi="Times New Roman" w:cs="Times New Roman"/>
          <w:highlight w:val="none"/>
          <w:shd w:val="clear" w:color="auto" w:fill="auto"/>
        </w:rPr>
        <w:t>（姓名）</w:t>
      </w:r>
      <w:r>
        <w:rPr>
          <w:rFonts w:ascii="Times New Roman" w:hAnsi="Times New Roman" w:cs="Times New Roman"/>
          <w:spacing w:val="1"/>
          <w:szCs w:val="21"/>
          <w:highlight w:val="none"/>
          <w:shd w:val="clear" w:color="auto" w:fill="auto"/>
        </w:rPr>
        <w:t>_________</w:t>
      </w:r>
      <w:r>
        <w:rPr>
          <w:rFonts w:ascii="Times New Roman" w:hAnsi="Times New Roman" w:cs="Times New Roman"/>
          <w:highlight w:val="none"/>
          <w:shd w:val="clear" w:color="auto" w:fill="auto"/>
        </w:rPr>
        <w:t>（电话）为我单位</w:t>
      </w:r>
      <w:r>
        <w:rPr>
          <w:rFonts w:ascii="Times New Roman" w:hAnsi="Times New Roman" w:cs="Times New Roman"/>
          <w:szCs w:val="21"/>
          <w:highlight w:val="none"/>
          <w:u w:val="single"/>
          <w:shd w:val="clear" w:color="auto" w:fill="auto"/>
        </w:rPr>
        <w:t xml:space="preserve">         </w:t>
      </w:r>
      <w:r>
        <w:rPr>
          <w:rFonts w:ascii="Times New Roman" w:hAnsi="Times New Roman" w:cs="Times New Roman"/>
          <w:highlight w:val="none"/>
          <w:shd w:val="clear" w:color="auto" w:fill="auto"/>
        </w:rPr>
        <w:t>（投标人或联合体牵头人名称）的代理人及本次投标的联系人。代理人根据授权，以我方名义签署、澄清确认、递交、撤回、修改本项目投标文件、签订合同和处理有关事宜，其法律后果由我方承担。</w:t>
      </w:r>
    </w:p>
    <w:p>
      <w:pPr>
        <w:spacing w:before="0" w:after="0" w:line="360" w:lineRule="auto"/>
        <w:ind w:firstLine="420" w:firstLineChars="20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委托期限：投标有效期结束后失效。</w:t>
      </w:r>
    </w:p>
    <w:p>
      <w:pPr>
        <w:spacing w:before="0" w:after="0" w:line="360" w:lineRule="auto"/>
        <w:ind w:firstLine="420" w:firstLineChars="20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代理人无转委托权。</w:t>
      </w:r>
    </w:p>
    <w:p>
      <w:pPr>
        <w:spacing w:before="0" w:after="0" w:line="360" w:lineRule="auto"/>
        <w:ind w:firstLine="420" w:firstLineChars="200"/>
        <w:rPr>
          <w:rFonts w:ascii="Times New Roman" w:hAnsi="Times New Roman" w:cs="Times New Roman"/>
          <w:highlight w:val="none"/>
          <w:shd w:val="clear" w:color="auto" w:fill="auto"/>
        </w:rPr>
      </w:pPr>
    </w:p>
    <w:p>
      <w:pPr>
        <w:spacing w:before="0" w:after="0" w:line="360" w:lineRule="auto"/>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附：法定代表人身份证扫描件及委托代理人身份证扫描件。</w:t>
      </w:r>
    </w:p>
    <w:p>
      <w:pPr>
        <w:spacing w:before="0" w:after="0" w:line="360" w:lineRule="auto"/>
        <w:rPr>
          <w:rFonts w:ascii="Times New Roman" w:hAnsi="Times New Roman" w:cs="Times New Roman"/>
          <w:highlight w:val="none"/>
          <w:shd w:val="clear" w:color="auto" w:fill="auto"/>
        </w:rPr>
      </w:pPr>
    </w:p>
    <w:p>
      <w:pPr>
        <w:spacing w:before="0" w:after="0" w:line="360" w:lineRule="auto"/>
        <w:ind w:left="1680" w:leftChars="800" w:firstLine="2692" w:firstLineChars="1282"/>
        <w:rPr>
          <w:rFonts w:ascii="Times New Roman" w:hAnsi="Times New Roman" w:cs="Times New Roman"/>
          <w:highlight w:val="none"/>
          <w:shd w:val="clear" w:color="auto" w:fill="auto"/>
        </w:rPr>
      </w:pPr>
    </w:p>
    <w:p>
      <w:pPr>
        <w:pStyle w:val="4"/>
        <w:rPr>
          <w:rFonts w:ascii="Times New Roman" w:hAnsi="Times New Roman" w:eastAsia="黑体" w:cs="Times New Roman"/>
          <w:sz w:val="32"/>
          <w:highlight w:val="none"/>
          <w:shd w:val="clear" w:color="auto" w:fill="auto"/>
        </w:rPr>
      </w:pPr>
      <w:r>
        <w:rPr>
          <w:rFonts w:ascii="Times New Roman" w:hAnsi="Times New Roman" w:cs="Times New Roman"/>
          <w:highlight w:val="none"/>
          <w:shd w:val="clear" w:color="auto" w:fill="auto"/>
        </w:rPr>
        <w:br w:type="page"/>
      </w:r>
      <w:bookmarkStart w:id="518" w:name="_Toc508806513"/>
      <w:bookmarkStart w:id="519" w:name="_Toc532285517"/>
      <w:bookmarkStart w:id="520" w:name="_Toc505001533"/>
      <w:r>
        <w:rPr>
          <w:rFonts w:ascii="Times New Roman" w:hAnsi="Times New Roman" w:eastAsia="黑体" w:cs="Times New Roman"/>
          <w:sz w:val="32"/>
          <w:highlight w:val="none"/>
          <w:shd w:val="clear" w:color="auto" w:fill="auto"/>
        </w:rPr>
        <w:t>3.联合体协议书（如有）</w:t>
      </w:r>
      <w:bookmarkEnd w:id="518"/>
      <w:bookmarkEnd w:id="519"/>
      <w:bookmarkEnd w:id="520"/>
    </w:p>
    <w:p>
      <w:pPr>
        <w:spacing w:line="320" w:lineRule="exact"/>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联合体协议书</w:t>
      </w:r>
    </w:p>
    <w:p>
      <w:pPr>
        <w:topLinePunct/>
        <w:spacing w:before="0" w:after="0" w:line="360" w:lineRule="auto"/>
        <w:ind w:firstLine="420" w:firstLineChars="200"/>
        <w:rPr>
          <w:rFonts w:ascii="Times New Roman" w:hAnsi="Times New Roman" w:cs="Times New Roman"/>
          <w:color w:val="000000"/>
          <w:highlight w:val="none"/>
          <w:shd w:val="clear" w:color="auto" w:fill="auto"/>
        </w:rPr>
      </w:pPr>
      <w:bookmarkStart w:id="521" w:name="_Toc453162714"/>
      <w:bookmarkStart w:id="522" w:name="_Toc453162627"/>
      <w:bookmarkStart w:id="523" w:name="_Toc296602998"/>
      <w:bookmarkStart w:id="524" w:name="_Toc499646523"/>
      <w:bookmarkStart w:id="525" w:name="_Toc300835217"/>
      <w:bookmarkStart w:id="526" w:name="_Toc453079654"/>
      <w:r>
        <w:rPr>
          <w:rFonts w:ascii="Times New Roman" w:hAnsi="Times New Roman" w:cs="Times New Roman"/>
          <w:highlight w:val="none"/>
          <w:u w:val="single"/>
          <w:shd w:val="clear" w:color="auto" w:fill="auto"/>
        </w:rPr>
        <w:t xml:space="preserve">                </w:t>
      </w:r>
      <w:r>
        <w:rPr>
          <w:rFonts w:ascii="Times New Roman" w:hAnsi="Times New Roman" w:cs="Times New Roman"/>
          <w:color w:val="000000"/>
          <w:highlight w:val="none"/>
          <w:shd w:val="clear" w:color="auto" w:fill="auto"/>
        </w:rPr>
        <w:t>（所有成员单位名称）自愿组成</w:t>
      </w:r>
      <w:r>
        <w:rPr>
          <w:rFonts w:ascii="Times New Roman" w:hAnsi="Times New Roman" w:cs="Times New Roman"/>
          <w:highlight w:val="none"/>
          <w:u w:val="single"/>
          <w:shd w:val="clear" w:color="auto" w:fill="auto"/>
        </w:rPr>
        <w:t xml:space="preserve">        </w:t>
      </w:r>
      <w:r>
        <w:rPr>
          <w:rFonts w:ascii="Times New Roman" w:hAnsi="Times New Roman" w:cs="Times New Roman"/>
          <w:color w:val="000000"/>
          <w:highlight w:val="none"/>
          <w:shd w:val="clear" w:color="auto" w:fill="auto"/>
        </w:rPr>
        <w:t>（联合体名称）联合体，共同参加</w:t>
      </w:r>
      <w:r>
        <w:rPr>
          <w:rFonts w:ascii="Times New Roman" w:hAnsi="Times New Roman" w:cs="Times New Roman"/>
          <w:highlight w:val="none"/>
          <w:u w:val="single"/>
          <w:shd w:val="clear" w:color="auto" w:fill="auto"/>
        </w:rPr>
        <w:t xml:space="preserve">              </w:t>
      </w:r>
      <w:r>
        <w:rPr>
          <w:rFonts w:ascii="Times New Roman" w:hAnsi="Times New Roman" w:cs="Times New Roman"/>
          <w:highlight w:val="none"/>
          <w:shd w:val="clear" w:color="auto" w:fill="auto"/>
        </w:rPr>
        <w:t>（项目名称）货物</w:t>
      </w:r>
      <w:r>
        <w:rPr>
          <w:rFonts w:ascii="Times New Roman" w:hAnsi="Times New Roman" w:cs="Times New Roman"/>
          <w:color w:val="000000"/>
          <w:highlight w:val="none"/>
          <w:shd w:val="clear" w:color="auto" w:fill="auto"/>
        </w:rPr>
        <w:t>采购招标项目</w:t>
      </w:r>
      <w:r>
        <w:rPr>
          <w:rFonts w:ascii="Times New Roman" w:hAnsi="Times New Roman" w:cs="Times New Roman"/>
          <w:szCs w:val="21"/>
          <w:highlight w:val="none"/>
          <w:shd w:val="clear" w:color="auto" w:fill="auto"/>
        </w:rPr>
        <w:t>投标。现就联</w:t>
      </w:r>
      <w:r>
        <w:rPr>
          <w:rFonts w:ascii="Times New Roman" w:hAnsi="Times New Roman" w:cs="Times New Roman"/>
          <w:color w:val="000000"/>
          <w:highlight w:val="none"/>
          <w:shd w:val="clear" w:color="auto" w:fill="auto"/>
        </w:rPr>
        <w:t>合体投标事宜订立如下协议。</w:t>
      </w:r>
    </w:p>
    <w:p>
      <w:pPr>
        <w:topLinePunct/>
        <w:spacing w:before="0" w:after="0" w:line="360" w:lineRule="auto"/>
        <w:ind w:firstLine="420" w:firstLineChars="200"/>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 xml:space="preserve">1. </w:t>
      </w:r>
      <w:r>
        <w:rPr>
          <w:rFonts w:ascii="Times New Roman" w:hAnsi="Times New Roman" w:cs="Times New Roman"/>
          <w:highlight w:val="none"/>
          <w:u w:val="single"/>
          <w:shd w:val="clear" w:color="auto" w:fill="auto"/>
        </w:rPr>
        <w:t xml:space="preserve">                  </w:t>
      </w:r>
      <w:r>
        <w:rPr>
          <w:rFonts w:ascii="Times New Roman" w:hAnsi="Times New Roman" w:cs="Times New Roman"/>
          <w:color w:val="000000"/>
          <w:highlight w:val="none"/>
          <w:shd w:val="clear" w:color="auto" w:fill="auto"/>
        </w:rPr>
        <w:t>（某成员单位名称）为</w:t>
      </w:r>
      <w:r>
        <w:rPr>
          <w:rFonts w:ascii="Times New Roman" w:hAnsi="Times New Roman" w:cs="Times New Roman"/>
          <w:highlight w:val="none"/>
          <w:u w:val="single"/>
          <w:shd w:val="clear" w:color="auto" w:fill="auto"/>
        </w:rPr>
        <w:t xml:space="preserve">        </w:t>
      </w:r>
      <w:r>
        <w:rPr>
          <w:rFonts w:ascii="Times New Roman" w:hAnsi="Times New Roman" w:cs="Times New Roman"/>
          <w:color w:val="000000"/>
          <w:highlight w:val="none"/>
          <w:shd w:val="clear" w:color="auto" w:fill="auto"/>
        </w:rPr>
        <w:t>（联合体名称）牵头人。</w:t>
      </w:r>
    </w:p>
    <w:p>
      <w:pPr>
        <w:topLinePunct/>
        <w:spacing w:before="0" w:after="0" w:line="360" w:lineRule="auto"/>
        <w:ind w:firstLine="420" w:firstLineChars="200"/>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2. 联合体各成员授权牵头人代表联合体参加投标活动，签署文件，提交和接收相</w:t>
      </w:r>
      <w:bookmarkStart w:id="527" w:name="_Toc144974859"/>
      <w:bookmarkStart w:id="528" w:name="_Toc300835212"/>
      <w:bookmarkStart w:id="529" w:name="_Toc152042579"/>
      <w:bookmarkStart w:id="530" w:name="_Toc361508755"/>
      <w:bookmarkStart w:id="531" w:name="_Toc152045790"/>
      <w:bookmarkStart w:id="532" w:name="_Toc247514249"/>
      <w:bookmarkStart w:id="533" w:name="_Toc384308378"/>
      <w:bookmarkStart w:id="534" w:name="_Toc247527830"/>
      <w:r>
        <w:rPr>
          <w:rFonts w:ascii="Times New Roman" w:hAnsi="Times New Roman" w:cs="Times New Roman"/>
          <w:color w:val="000000"/>
          <w:highlight w:val="none"/>
          <w:shd w:val="clear" w:color="auto" w:fill="auto"/>
        </w:rPr>
        <w:t>关的</w:t>
      </w:r>
      <w:bookmarkStart w:id="535" w:name="_Toc352691664"/>
      <w:bookmarkStart w:id="536" w:name="_Toc7749"/>
      <w:bookmarkStart w:id="537" w:name="_Toc369531700"/>
      <w:r>
        <w:rPr>
          <w:rFonts w:ascii="Times New Roman" w:hAnsi="Times New Roman" w:cs="Times New Roman"/>
          <w:color w:val="000000"/>
          <w:highlight w:val="none"/>
          <w:shd w:val="clear" w:color="auto" w:fill="auto"/>
        </w:rPr>
        <w:t>资料、信息及</w:t>
      </w:r>
      <w:bookmarkEnd w:id="535"/>
      <w:bookmarkEnd w:id="536"/>
      <w:bookmarkEnd w:id="537"/>
      <w:r>
        <w:rPr>
          <w:rFonts w:ascii="Times New Roman" w:hAnsi="Times New Roman" w:cs="Times New Roman"/>
          <w:color w:val="000000"/>
          <w:highlight w:val="none"/>
          <w:shd w:val="clear" w:color="auto" w:fill="auto"/>
        </w:rPr>
        <w:t>指</w:t>
      </w:r>
      <w:bookmarkEnd w:id="527"/>
      <w:bookmarkEnd w:id="528"/>
      <w:bookmarkEnd w:id="529"/>
      <w:bookmarkEnd w:id="530"/>
      <w:bookmarkEnd w:id="531"/>
      <w:bookmarkEnd w:id="532"/>
      <w:bookmarkEnd w:id="533"/>
      <w:bookmarkEnd w:id="534"/>
      <w:r>
        <w:rPr>
          <w:rFonts w:ascii="Times New Roman" w:hAnsi="Times New Roman" w:cs="Times New Roman"/>
          <w:color w:val="000000"/>
          <w:highlight w:val="none"/>
          <w:shd w:val="clear" w:color="auto" w:fill="auto"/>
        </w:rPr>
        <w:t>示，进行合同谈判活动，负责合同实施阶段的组织和协调工作，以及处理与本招标项目有关的一切事宜。</w:t>
      </w:r>
    </w:p>
    <w:p>
      <w:pPr>
        <w:topLinePunct/>
        <w:spacing w:before="0" w:after="0" w:line="360" w:lineRule="auto"/>
        <w:ind w:firstLine="420" w:firstLineChars="200"/>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3</w:t>
      </w:r>
      <w:bookmarkStart w:id="538" w:name="_Toc27930"/>
      <w:bookmarkStart w:id="539" w:name="_Toc352691665"/>
      <w:bookmarkStart w:id="540" w:name="_Toc384308380"/>
      <w:bookmarkStart w:id="541" w:name="_Toc369531701"/>
      <w:bookmarkStart w:id="542" w:name="_Toc361508756"/>
      <w:r>
        <w:rPr>
          <w:rFonts w:ascii="Times New Roman" w:hAnsi="Times New Roman" w:cs="Times New Roman"/>
          <w:color w:val="000000"/>
          <w:highlight w:val="none"/>
          <w:shd w:val="clear" w:color="auto" w:fill="auto"/>
        </w:rPr>
        <w:t>. 联合体牵头人在本项目中签署的一切文件和处理</w:t>
      </w:r>
      <w:bookmarkEnd w:id="538"/>
      <w:bookmarkEnd w:id="539"/>
      <w:bookmarkEnd w:id="540"/>
      <w:bookmarkEnd w:id="541"/>
      <w:bookmarkEnd w:id="542"/>
      <w:r>
        <w:rPr>
          <w:rFonts w:ascii="Times New Roman" w:hAnsi="Times New Roman" w:cs="Times New Roman"/>
          <w:color w:val="000000"/>
          <w:highlight w:val="none"/>
          <w:shd w:val="clear" w:color="auto" w:fill="auto"/>
        </w:rPr>
        <w:t>的一切事宜，联合体各成员均予以承认。联合体各成员将严格按照招标文件、投标文件和合同的要求全面履行义务，并向招标人承担连带责任。</w:t>
      </w:r>
    </w:p>
    <w:p>
      <w:pPr>
        <w:topLinePunct/>
        <w:spacing w:before="0" w:after="0" w:line="360" w:lineRule="auto"/>
        <w:ind w:firstLine="420" w:firstLineChars="200"/>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4. 联合体各成员单位内部的职责分工如下：</w:t>
      </w:r>
      <w:r>
        <w:rPr>
          <w:rFonts w:ascii="Times New Roman" w:hAnsi="Times New Roman" w:cs="Times New Roman"/>
          <w:highlight w:val="none"/>
          <w:u w:val="single"/>
          <w:shd w:val="clear" w:color="auto" w:fill="auto"/>
        </w:rPr>
        <w:t xml:space="preserve">                                        </w:t>
      </w:r>
      <w:r>
        <w:rPr>
          <w:rFonts w:ascii="Times New Roman" w:hAnsi="Times New Roman" w:cs="Times New Roman"/>
          <w:color w:val="000000"/>
          <w:highlight w:val="none"/>
          <w:shd w:val="clear" w:color="auto" w:fill="auto"/>
        </w:rPr>
        <w:t>。</w:t>
      </w:r>
    </w:p>
    <w:p>
      <w:pPr>
        <w:topLinePunct/>
        <w:spacing w:before="0" w:after="0" w:line="360" w:lineRule="auto"/>
        <w:ind w:firstLine="420" w:firstLineChars="200"/>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5. 本协议书自所有成员单位盖单位公章之日起生效，</w:t>
      </w:r>
      <w:r>
        <w:rPr>
          <w:rFonts w:ascii="Times New Roman" w:hAnsi="Times New Roman" w:cs="Times New Roman"/>
          <w:szCs w:val="21"/>
          <w:highlight w:val="none"/>
          <w:shd w:val="clear" w:color="auto" w:fill="auto"/>
        </w:rPr>
        <w:t>合同履行完毕后自动失效</w:t>
      </w:r>
      <w:r>
        <w:rPr>
          <w:rFonts w:ascii="Times New Roman" w:hAnsi="Times New Roman" w:cs="Times New Roman"/>
          <w:color w:val="000000"/>
          <w:highlight w:val="none"/>
          <w:shd w:val="clear" w:color="auto" w:fill="auto"/>
        </w:rPr>
        <w:t>。</w:t>
      </w:r>
    </w:p>
    <w:p>
      <w:pPr>
        <w:topLinePunct/>
        <w:spacing w:before="0" w:after="0" w:line="360" w:lineRule="auto"/>
        <w:ind w:firstLine="420" w:firstLineChars="200"/>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6. 本协议书一式</w:t>
      </w:r>
      <w:r>
        <w:rPr>
          <w:rFonts w:ascii="Times New Roman" w:hAnsi="Times New Roman" w:cs="Times New Roman"/>
          <w:highlight w:val="none"/>
          <w:u w:val="single"/>
          <w:shd w:val="clear" w:color="auto" w:fill="auto"/>
        </w:rPr>
        <w:t xml:space="preserve">    </w:t>
      </w:r>
      <w:r>
        <w:rPr>
          <w:rFonts w:ascii="Times New Roman" w:hAnsi="Times New Roman" w:cs="Times New Roman"/>
          <w:color w:val="000000"/>
          <w:highlight w:val="none"/>
          <w:shd w:val="clear" w:color="auto" w:fill="auto"/>
        </w:rPr>
        <w:t>份，联合体成员和招标人各执一份。</w:t>
      </w:r>
    </w:p>
    <w:p>
      <w:pPr>
        <w:topLinePunct/>
        <w:spacing w:line="320" w:lineRule="exact"/>
        <w:ind w:firstLine="2408" w:firstLineChars="1147"/>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联合体牵头人名称：</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r>
        <w:rPr>
          <w:rFonts w:ascii="Times New Roman" w:hAnsi="Times New Roman" w:cs="Times New Roman"/>
          <w:color w:val="000000"/>
          <w:highlight w:val="none"/>
          <w:shd w:val="clear" w:color="auto" w:fill="auto"/>
        </w:rPr>
        <w:t>（盖单位公章）</w:t>
      </w:r>
    </w:p>
    <w:p>
      <w:pPr>
        <w:topLinePunct/>
        <w:spacing w:line="320" w:lineRule="exact"/>
        <w:ind w:firstLine="2408" w:firstLineChars="1147"/>
        <w:jc w:val="left"/>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联合体成员名称：</w:t>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r>
        <w:rPr>
          <w:rFonts w:ascii="Times New Roman" w:hAnsi="Times New Roman" w:cs="Times New Roman"/>
          <w:color w:val="000000"/>
          <w:highlight w:val="none"/>
          <w:shd w:val="clear" w:color="auto" w:fill="auto"/>
        </w:rPr>
        <w:t>（盖单位公章）</w:t>
      </w:r>
    </w:p>
    <w:p>
      <w:pPr>
        <w:topLinePunct/>
        <w:spacing w:line="320" w:lineRule="exact"/>
        <w:ind w:firstLine="2408" w:firstLineChars="1147"/>
        <w:jc w:val="left"/>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联合体成员名称：</w:t>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r>
        <w:rPr>
          <w:rFonts w:ascii="Times New Roman" w:hAnsi="Times New Roman" w:cs="Times New Roman"/>
          <w:color w:val="000000"/>
          <w:highlight w:val="none"/>
          <w:shd w:val="clear" w:color="auto" w:fill="auto"/>
        </w:rPr>
        <w:t>（盖单位公章）</w:t>
      </w:r>
    </w:p>
    <w:p>
      <w:pPr>
        <w:topLinePunct/>
        <w:spacing w:line="320" w:lineRule="exact"/>
        <w:ind w:firstLine="2408" w:firstLineChars="1147"/>
        <w:rPr>
          <w:rFonts w:ascii="Times New Roman" w:hAnsi="Times New Roman" w:cs="Times New Roman"/>
          <w:color w:val="000000"/>
          <w:highlight w:val="none"/>
          <w:shd w:val="clear" w:color="auto" w:fill="auto"/>
        </w:rPr>
      </w:pPr>
      <w:r>
        <w:rPr>
          <w:rFonts w:ascii="Times New Roman" w:hAnsi="Times New Roman" w:cs="Times New Roman"/>
          <w:color w:val="000000"/>
          <w:highlight w:val="none"/>
          <w:shd w:val="clear" w:color="auto" w:fill="auto"/>
        </w:rPr>
        <w:t xml:space="preserve">…… </w:t>
      </w:r>
    </w:p>
    <w:p>
      <w:pPr>
        <w:topLinePunct/>
        <w:spacing w:line="320" w:lineRule="exact"/>
        <w:ind w:firstLine="2408" w:firstLineChars="1147"/>
        <w:jc w:val="right"/>
        <w:rPr>
          <w:rFonts w:ascii="Times New Roman" w:hAnsi="Times New Roman" w:cs="Times New Roman"/>
          <w:color w:val="000000"/>
          <w:highlight w:val="none"/>
          <w:shd w:val="clear" w:color="auto" w:fill="auto"/>
        </w:rPr>
      </w:pPr>
      <w:r>
        <w:rPr>
          <w:rFonts w:ascii="Times New Roman" w:hAnsi="Times New Roman" w:cs="Times New Roman"/>
          <w:color w:val="000000"/>
          <w:highlight w:val="none"/>
          <w:u w:val="single"/>
          <w:shd w:val="clear" w:color="auto" w:fill="auto"/>
        </w:rPr>
        <w:t xml:space="preserve">       </w:t>
      </w:r>
      <w:r>
        <w:rPr>
          <w:rFonts w:ascii="Times New Roman" w:hAnsi="Times New Roman" w:cs="Times New Roman"/>
          <w:color w:val="000000"/>
          <w:highlight w:val="none"/>
          <w:shd w:val="clear" w:color="auto" w:fill="auto"/>
        </w:rPr>
        <w:t>年</w:t>
      </w:r>
      <w:r>
        <w:rPr>
          <w:rFonts w:ascii="Times New Roman" w:hAnsi="Times New Roman" w:cs="Times New Roman"/>
          <w:color w:val="000000"/>
          <w:highlight w:val="none"/>
          <w:u w:val="single"/>
          <w:shd w:val="clear" w:color="auto" w:fill="auto"/>
        </w:rPr>
        <w:t xml:space="preserve">       </w:t>
      </w:r>
      <w:r>
        <w:rPr>
          <w:rFonts w:ascii="Times New Roman" w:hAnsi="Times New Roman" w:cs="Times New Roman"/>
          <w:color w:val="000000"/>
          <w:highlight w:val="none"/>
          <w:shd w:val="clear" w:color="auto" w:fill="auto"/>
        </w:rPr>
        <w:t>月</w:t>
      </w:r>
      <w:r>
        <w:rPr>
          <w:rFonts w:ascii="Times New Roman" w:hAnsi="Times New Roman" w:cs="Times New Roman"/>
          <w:color w:val="000000"/>
          <w:highlight w:val="none"/>
          <w:u w:val="single"/>
          <w:shd w:val="clear" w:color="auto" w:fill="auto"/>
        </w:rPr>
        <w:t xml:space="preserve">       </w:t>
      </w:r>
      <w:r>
        <w:rPr>
          <w:rFonts w:ascii="Times New Roman" w:hAnsi="Times New Roman" w:cs="Times New Roman"/>
          <w:color w:val="000000"/>
          <w:highlight w:val="none"/>
          <w:shd w:val="clear" w:color="auto" w:fill="auto"/>
        </w:rPr>
        <w:t>日</w:t>
      </w:r>
    </w:p>
    <w:p>
      <w:pP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备注：本协议书须在投标文件上传加盖公章的扫描件。</w:t>
      </w:r>
      <w:r>
        <w:rPr>
          <w:rFonts w:ascii="Times New Roman" w:hAnsi="Times New Roman" w:cs="Times New Roman"/>
          <w:b/>
          <w:highlight w:val="none"/>
          <w:shd w:val="clear" w:color="auto" w:fill="auto"/>
        </w:rPr>
        <w:br w:type="page"/>
      </w:r>
      <w:bookmarkEnd w:id="521"/>
      <w:bookmarkEnd w:id="522"/>
      <w:bookmarkEnd w:id="523"/>
      <w:bookmarkEnd w:id="524"/>
      <w:bookmarkEnd w:id="525"/>
      <w:bookmarkEnd w:id="526"/>
      <w:bookmarkStart w:id="543" w:name="_Toc505001534"/>
      <w:bookmarkStart w:id="544" w:name="_Toc499646524"/>
      <w:bookmarkStart w:id="545" w:name="_Toc453162718"/>
      <w:bookmarkStart w:id="546" w:name="_Toc453079658"/>
      <w:bookmarkStart w:id="547" w:name="_Toc453162631"/>
    </w:p>
    <w:p>
      <w:pPr>
        <w:pStyle w:val="4"/>
        <w:rPr>
          <w:rFonts w:ascii="Times New Roman" w:hAnsi="Times New Roman" w:eastAsia="黑体" w:cs="Times New Roman"/>
          <w:sz w:val="32"/>
          <w:highlight w:val="none"/>
          <w:shd w:val="clear" w:color="auto" w:fill="auto"/>
        </w:rPr>
      </w:pPr>
      <w:bookmarkStart w:id="548" w:name="_Toc532285518"/>
      <w:bookmarkStart w:id="549" w:name="_Toc508806514"/>
      <w:r>
        <w:rPr>
          <w:rFonts w:ascii="Times New Roman" w:hAnsi="Times New Roman" w:eastAsia="黑体" w:cs="Times New Roman"/>
          <w:sz w:val="32"/>
          <w:highlight w:val="none"/>
          <w:shd w:val="clear" w:color="auto" w:fill="auto"/>
        </w:rPr>
        <w:t>4.投标保证金</w:t>
      </w:r>
      <w:bookmarkEnd w:id="548"/>
      <w:bookmarkEnd w:id="549"/>
    </w:p>
    <w:p>
      <w:pPr>
        <w:spacing w:before="0" w:after="0" w:line="400" w:lineRule="exact"/>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若采用银行电汇，投标人应在此提供汇款凭证的扫描件。</w:t>
      </w:r>
    </w:p>
    <w:p>
      <w:pPr>
        <w:spacing w:before="0" w:after="0" w:line="400" w:lineRule="exact"/>
        <w:ind w:firstLine="420" w:firstLineChars="200"/>
        <w:rPr>
          <w:rFonts w:ascii="Times New Roman" w:hAnsi="Times New Roman" w:cs="Times New Roman"/>
          <w:szCs w:val="21"/>
          <w:highlight w:val="none"/>
          <w:shd w:val="clear" w:color="auto" w:fill="auto"/>
        </w:rPr>
      </w:pPr>
      <w:r>
        <w:rPr>
          <w:szCs w:val="21"/>
          <w:highlight w:val="none"/>
          <w:shd w:val="clear" w:color="auto" w:fill="auto"/>
        </w:rPr>
        <w:t>若采用保函形式，投标人</w:t>
      </w:r>
      <w:r>
        <w:rPr>
          <w:rFonts w:ascii="Times New Roman" w:hAnsi="Times New Roman" w:cs="Times New Roman"/>
          <w:szCs w:val="21"/>
          <w:highlight w:val="none"/>
          <w:shd w:val="clear" w:color="auto" w:fill="auto"/>
        </w:rPr>
        <w:t>应在此提供保函扫描件。</w:t>
      </w:r>
    </w:p>
    <w:p>
      <w:pPr>
        <w:spacing w:before="0" w:after="0" w:line="400" w:lineRule="exact"/>
        <w:ind w:firstLine="420" w:firstLineChars="200"/>
        <w:rPr>
          <w:rFonts w:ascii="Times New Roman" w:hAnsi="Times New Roman" w:cs="Times New Roman"/>
          <w:szCs w:val="21"/>
          <w:highlight w:val="none"/>
          <w:shd w:val="clear" w:color="auto" w:fill="auto"/>
        </w:rPr>
      </w:pPr>
      <w:r>
        <w:rPr>
          <w:rFonts w:hint="eastAsia" w:ascii="Times New Roman" w:hAnsi="Times New Roman" w:cs="Times New Roman"/>
          <w:szCs w:val="21"/>
          <w:highlight w:val="none"/>
          <w:shd w:val="clear" w:color="auto" w:fill="auto"/>
        </w:rPr>
        <w:t>保函格式参考如下：</w:t>
      </w:r>
    </w:p>
    <w:p>
      <w:pPr>
        <w:spacing w:before="0" w:after="0" w:line="400" w:lineRule="exact"/>
        <w:ind w:firstLine="420" w:firstLineChars="200"/>
        <w:rPr>
          <w:rFonts w:ascii="Times New Roman" w:hAnsi="Times New Roman" w:cs="Times New Roman"/>
          <w:szCs w:val="21"/>
          <w:highlight w:val="none"/>
          <w:shd w:val="clear" w:color="auto" w:fill="auto"/>
        </w:rPr>
      </w:pPr>
    </w:p>
    <w:p>
      <w:pPr>
        <w:spacing w:before="0" w:after="0" w:line="400" w:lineRule="exact"/>
        <w:ind w:firstLine="200"/>
        <w:rPr>
          <w:rFonts w:ascii="Times New Roman" w:hAnsi="Times New Roman" w:cs="Times New Roman"/>
          <w:b/>
          <w:szCs w:val="21"/>
          <w:highlight w:val="none"/>
          <w:shd w:val="clear" w:color="auto" w:fill="auto"/>
        </w:rPr>
      </w:pPr>
      <w:r>
        <w:rPr>
          <w:rFonts w:ascii="Times New Roman" w:hAnsi="Times New Roman" w:cs="Times New Roman"/>
          <w:sz w:val="24"/>
          <w:highlight w:val="none"/>
          <w:shd w:val="clear" w:color="auto" w:fill="auto"/>
        </w:rPr>
        <w:t xml:space="preserve">                              </w:t>
      </w:r>
      <w:r>
        <w:rPr>
          <w:rFonts w:ascii="Times New Roman" w:hAnsi="Times New Roman" w:cs="Times New Roman"/>
          <w:szCs w:val="21"/>
          <w:highlight w:val="none"/>
          <w:shd w:val="clear" w:color="auto" w:fill="auto"/>
        </w:rPr>
        <w:t xml:space="preserve"> </w:t>
      </w:r>
      <w:r>
        <w:rPr>
          <w:rFonts w:ascii="Times New Roman" w:hAnsi="Times New Roman" w:cs="Times New Roman"/>
          <w:b/>
          <w:szCs w:val="21"/>
          <w:highlight w:val="none"/>
          <w:shd w:val="clear" w:color="auto" w:fill="auto"/>
        </w:rPr>
        <w:t>投标保函</w:t>
      </w:r>
    </w:p>
    <w:p>
      <w:pPr>
        <w:spacing w:before="0" w:after="0" w:line="360" w:lineRule="auto"/>
        <w:rPr>
          <w:rFonts w:ascii="Times New Roman" w:hAnsi="Times New Roman" w:cs="Times New Roman"/>
          <w:spacing w:val="1"/>
          <w:szCs w:val="21"/>
          <w:highlight w:val="none"/>
          <w:shd w:val="clear" w:color="auto" w:fill="auto"/>
        </w:rPr>
      </w:pPr>
      <w:r>
        <w:rPr>
          <w:rFonts w:ascii="Times New Roman" w:hAnsi="Times New Roman" w:cs="Times New Roman"/>
          <w:spacing w:val="1"/>
          <w:szCs w:val="21"/>
          <w:highlight w:val="none"/>
          <w:shd w:val="clear" w:color="auto" w:fill="auto"/>
        </w:rPr>
        <w:t>_________（招标人名称）：</w:t>
      </w:r>
    </w:p>
    <w:p>
      <w:pPr>
        <w:spacing w:before="0" w:after="0" w:line="360" w:lineRule="auto"/>
        <w:ind w:firstLine="636" w:firstLineChars="300"/>
        <w:rPr>
          <w:rFonts w:ascii="Times New Roman" w:hAnsi="Times New Roman" w:cs="Times New Roman"/>
          <w:spacing w:val="1"/>
          <w:szCs w:val="21"/>
          <w:highlight w:val="none"/>
          <w:shd w:val="clear" w:color="auto" w:fill="auto"/>
        </w:rPr>
      </w:pPr>
      <w:r>
        <w:rPr>
          <w:rFonts w:ascii="Times New Roman" w:hAnsi="Times New Roman" w:cs="Times New Roman"/>
          <w:spacing w:val="1"/>
          <w:szCs w:val="21"/>
          <w:highlight w:val="none"/>
          <w:shd w:val="clear" w:color="auto" w:fill="auto"/>
        </w:rPr>
        <w:t>鉴于_________（投标人名称）（以下称“投标人”）于___年___月___日参加_________（项目名称）___标段货物采购招标的投标，_________（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_________。</w:t>
      </w:r>
    </w:p>
    <w:p>
      <w:pPr>
        <w:spacing w:before="0" w:after="0" w:line="360" w:lineRule="auto"/>
        <w:ind w:firstLine="424" w:firstLineChars="200"/>
        <w:rPr>
          <w:rFonts w:ascii="Times New Roman" w:hAnsi="Times New Roman" w:cs="Times New Roman"/>
          <w:spacing w:val="1"/>
          <w:szCs w:val="21"/>
          <w:highlight w:val="none"/>
          <w:shd w:val="clear" w:color="auto" w:fill="auto"/>
        </w:rPr>
      </w:pPr>
      <w:r>
        <w:rPr>
          <w:rFonts w:ascii="Times New Roman" w:hAnsi="Times New Roman" w:cs="Times New Roman"/>
          <w:spacing w:val="1"/>
          <w:szCs w:val="21"/>
          <w:highlight w:val="none"/>
          <w:shd w:val="clear" w:color="auto" w:fill="auto"/>
        </w:rPr>
        <w:t>本保函在投标有效期内保持有效。要求我方承担保证责任的通知应在投标有效期内送达我方。</w:t>
      </w:r>
    </w:p>
    <w:p>
      <w:pPr>
        <w:spacing w:before="0" w:after="0" w:line="440" w:lineRule="exact"/>
        <w:ind w:firstLine="420" w:firstLineChars="200"/>
        <w:rPr>
          <w:rFonts w:ascii="Times New Roman" w:hAnsi="Times New Roman" w:cs="Times New Roman"/>
          <w:szCs w:val="21"/>
          <w:highlight w:val="none"/>
          <w:shd w:val="clear" w:color="auto" w:fill="auto"/>
        </w:rPr>
      </w:pPr>
    </w:p>
    <w:p>
      <w:pPr>
        <w:spacing w:before="0" w:after="0" w:line="440" w:lineRule="exact"/>
        <w:rPr>
          <w:rFonts w:ascii="Times New Roman" w:hAnsi="Times New Roman" w:cs="Times New Roman"/>
          <w:szCs w:val="21"/>
          <w:highlight w:val="none"/>
          <w:shd w:val="clear" w:color="auto" w:fill="auto"/>
        </w:rPr>
      </w:pPr>
    </w:p>
    <w:p>
      <w:pPr>
        <w:spacing w:before="0" w:after="0" w:line="440" w:lineRule="exact"/>
        <w:rPr>
          <w:rFonts w:ascii="Times New Roman" w:hAnsi="Times New Roman" w:cs="Times New Roman"/>
          <w:szCs w:val="21"/>
          <w:highlight w:val="none"/>
          <w:shd w:val="clear" w:color="auto" w:fill="auto"/>
        </w:rPr>
      </w:pPr>
    </w:p>
    <w:p>
      <w:pPr>
        <w:spacing w:before="0" w:after="0" w:line="440" w:lineRule="exact"/>
        <w:rPr>
          <w:rFonts w:ascii="Times New Roman" w:hAnsi="Times New Roman" w:cs="Times New Roman"/>
          <w:szCs w:val="21"/>
          <w:highlight w:val="none"/>
          <w:shd w:val="clear" w:color="auto" w:fill="auto"/>
        </w:rPr>
      </w:pPr>
    </w:p>
    <w:bookmarkEnd w:id="543"/>
    <w:p>
      <w:pPr>
        <w:spacing w:before="0" w:after="0" w:line="360" w:lineRule="auto"/>
        <w:ind w:firstLine="3208" w:firstLineChars="1528"/>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担保人名称：</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shd w:val="clear" w:color="auto" w:fill="auto"/>
        </w:rPr>
        <w:t>（盖单位章）</w:t>
      </w:r>
    </w:p>
    <w:p>
      <w:pPr>
        <w:spacing w:before="0" w:after="0" w:line="360" w:lineRule="auto"/>
        <w:ind w:firstLine="3208" w:firstLineChars="1528"/>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法定代表人或</w:t>
      </w:r>
      <w:r>
        <w:rPr>
          <w:rFonts w:ascii="Times New Roman" w:hAnsi="Times New Roman" w:cs="Times New Roman"/>
          <w:szCs w:val="21"/>
          <w:highlight w:val="none"/>
          <w:shd w:val="clear" w:color="auto" w:fill="auto"/>
        </w:rPr>
        <w:t>委托代理人：</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shd w:val="clear" w:color="auto" w:fill="auto"/>
        </w:rPr>
        <w:t>（签字）</w:t>
      </w:r>
    </w:p>
    <w:p>
      <w:pPr>
        <w:spacing w:before="0" w:after="0" w:line="360" w:lineRule="auto"/>
        <w:ind w:firstLine="3208" w:firstLineChars="1528"/>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地    址：</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p>
    <w:p>
      <w:pPr>
        <w:spacing w:before="0" w:after="0" w:line="360" w:lineRule="auto"/>
        <w:ind w:firstLine="3208" w:firstLineChars="1528"/>
        <w:rPr>
          <w:rFonts w:ascii="Times New Roman" w:hAnsi="Times New Roman" w:cs="Times New Roman"/>
          <w:szCs w:val="21"/>
          <w:highlight w:val="none"/>
          <w:u w:val="single"/>
          <w:shd w:val="clear" w:color="auto" w:fill="auto"/>
        </w:rPr>
      </w:pPr>
      <w:r>
        <w:rPr>
          <w:rFonts w:ascii="Times New Roman" w:hAnsi="Times New Roman" w:cs="Times New Roman"/>
          <w:szCs w:val="21"/>
          <w:highlight w:val="none"/>
          <w:shd w:val="clear" w:color="auto" w:fill="auto"/>
        </w:rPr>
        <w:t>邮政编码：</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bookmarkStart w:id="550" w:name="_Toc22972"/>
      <w:bookmarkStart w:id="551" w:name="_Toc384308382"/>
      <w:bookmarkStart w:id="552" w:name="_Toc361508758"/>
      <w:bookmarkStart w:id="553" w:name="_Toc369531703"/>
      <w:bookmarkStart w:id="554" w:name="_Toc352691667"/>
    </w:p>
    <w:p>
      <w:pPr>
        <w:spacing w:before="0" w:after="0" w:line="360" w:lineRule="auto"/>
        <w:ind w:firstLine="3208" w:firstLineChars="1528"/>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电</w:t>
      </w:r>
      <w:bookmarkEnd w:id="550"/>
      <w:bookmarkEnd w:id="551"/>
      <w:bookmarkEnd w:id="552"/>
      <w:bookmarkEnd w:id="553"/>
      <w:bookmarkEnd w:id="554"/>
      <w:r>
        <w:rPr>
          <w:rFonts w:ascii="Times New Roman" w:hAnsi="Times New Roman" w:cs="Times New Roman"/>
          <w:szCs w:val="21"/>
          <w:highlight w:val="none"/>
          <w:shd w:val="clear" w:color="auto" w:fill="auto"/>
        </w:rPr>
        <w:t>话：</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 xml:space="preserve">                     </w:t>
      </w:r>
      <w:r>
        <w:rPr>
          <w:rFonts w:ascii="Times New Roman" w:hAnsi="Times New Roman" w:cs="Times New Roman"/>
          <w:szCs w:val="21"/>
          <w:highlight w:val="none"/>
          <w:u w:val="single"/>
          <w:shd w:val="clear" w:color="auto" w:fill="auto"/>
        </w:rPr>
        <w:tab/>
      </w:r>
      <w:r>
        <w:rPr>
          <w:rFonts w:ascii="Times New Roman" w:hAnsi="Times New Roman" w:cs="Times New Roman"/>
          <w:szCs w:val="21"/>
          <w:highlight w:val="none"/>
          <w:u w:val="single"/>
          <w:shd w:val="clear" w:color="auto" w:fill="auto"/>
        </w:rPr>
        <w:t xml:space="preserve">        </w:t>
      </w:r>
    </w:p>
    <w:p>
      <w:pPr>
        <w:wordWrap w:val="0"/>
        <w:topLinePunct/>
        <w:spacing w:before="0" w:after="0" w:line="440" w:lineRule="exact"/>
        <w:ind w:firstLine="4435" w:firstLineChars="2112"/>
        <w:jc w:val="right"/>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年   月   日</w:t>
      </w:r>
    </w:p>
    <w:p>
      <w:pPr>
        <w:spacing w:before="0" w:after="0" w:line="440" w:lineRule="exact"/>
        <w:ind w:firstLine="3208" w:firstLineChars="1528"/>
        <w:jc w:val="right"/>
        <w:rPr>
          <w:rFonts w:ascii="Times New Roman" w:hAnsi="Times New Roman" w:cs="Times New Roman"/>
          <w:szCs w:val="21"/>
          <w:highlight w:val="none"/>
          <w:shd w:val="clear" w:color="auto" w:fill="auto"/>
        </w:rPr>
      </w:pPr>
    </w:p>
    <w:p>
      <w:pPr>
        <w:pStyle w:val="4"/>
        <w:rPr>
          <w:rFonts w:ascii="Times New Roman" w:hAnsi="Times New Roman" w:eastAsia="黑体" w:cs="Times New Roman"/>
          <w:sz w:val="32"/>
          <w:highlight w:val="none"/>
          <w:shd w:val="clear" w:color="auto" w:fill="auto"/>
        </w:rPr>
      </w:pPr>
      <w:r>
        <w:rPr>
          <w:rFonts w:ascii="Times New Roman" w:hAnsi="Times New Roman" w:cs="Times New Roman"/>
          <w:highlight w:val="none"/>
          <w:shd w:val="clear" w:color="auto" w:fill="auto"/>
        </w:rPr>
        <w:br w:type="page"/>
      </w:r>
      <w:bookmarkStart w:id="555" w:name="_Toc453597556"/>
      <w:bookmarkStart w:id="556" w:name="_Toc532285519"/>
      <w:bookmarkStart w:id="557" w:name="_Toc455756341"/>
      <w:bookmarkStart w:id="558" w:name="_Toc505001535"/>
      <w:bookmarkStart w:id="559" w:name="_Toc508806515"/>
      <w:r>
        <w:rPr>
          <w:rFonts w:ascii="Times New Roman" w:hAnsi="Times New Roman" w:eastAsia="黑体" w:cs="Times New Roman"/>
          <w:sz w:val="32"/>
          <w:highlight w:val="none"/>
          <w:shd w:val="clear" w:color="auto" w:fill="auto"/>
        </w:rPr>
        <w:t>5.</w:t>
      </w:r>
      <w:bookmarkEnd w:id="555"/>
      <w:bookmarkEnd w:id="556"/>
      <w:bookmarkEnd w:id="557"/>
      <w:r>
        <w:rPr>
          <w:rFonts w:ascii="Times New Roman" w:hAnsi="Times New Roman" w:eastAsia="黑体" w:cs="Times New Roman"/>
          <w:sz w:val="32"/>
          <w:highlight w:val="none"/>
          <w:shd w:val="clear" w:color="auto" w:fill="auto"/>
        </w:rPr>
        <w:t>资格审查资料</w:t>
      </w:r>
    </w:p>
    <w:p>
      <w:pPr>
        <w:pStyle w:val="168"/>
        <w:spacing w:before="0" w:after="0" w:line="360" w:lineRule="auto"/>
        <w:outlineLvl w:val="3"/>
        <w:rPr>
          <w:rFonts w:eastAsia="黑体"/>
          <w:b/>
          <w:sz w:val="28"/>
          <w:szCs w:val="28"/>
          <w:highlight w:val="none"/>
          <w:shd w:val="clear" w:color="auto" w:fill="auto"/>
        </w:rPr>
      </w:pPr>
      <w:r>
        <w:rPr>
          <w:rFonts w:eastAsia="黑体"/>
          <w:b/>
          <w:sz w:val="28"/>
          <w:szCs w:val="28"/>
          <w:highlight w:val="none"/>
          <w:shd w:val="clear" w:color="auto" w:fill="auto"/>
        </w:rPr>
        <w:t>5.1投标人基本情况表</w:t>
      </w:r>
    </w:p>
    <w:p>
      <w:pPr>
        <w:spacing w:before="0" w:after="0"/>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投标人基本情况表</w:t>
      </w:r>
    </w:p>
    <w:tbl>
      <w:tblPr>
        <w:tblStyle w:val="42"/>
        <w:tblW w:w="9309"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35"/>
        <w:gridCol w:w="993"/>
        <w:gridCol w:w="2078"/>
        <w:gridCol w:w="1135"/>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color w:val="000000"/>
                <w:szCs w:val="21"/>
                <w:highlight w:val="none"/>
                <w:shd w:val="clear" w:color="auto" w:fill="auto"/>
              </w:rPr>
            </w:pPr>
            <w:r>
              <w:rPr>
                <w:rFonts w:ascii="Times New Roman" w:hAnsi="Times New Roman" w:cs="Times New Roman"/>
                <w:color w:val="000000"/>
                <w:kern w:val="0"/>
                <w:szCs w:val="21"/>
                <w:highlight w:val="none"/>
                <w:shd w:val="clear" w:color="auto" w:fill="auto"/>
              </w:rPr>
              <w:t>投标人名称</w:t>
            </w:r>
          </w:p>
        </w:tc>
        <w:tc>
          <w:tcPr>
            <w:tcW w:w="6474" w:type="dxa"/>
            <w:gridSpan w:val="4"/>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color w:val="000000"/>
                <w:szCs w:val="21"/>
                <w:highlight w:val="none"/>
                <w:shd w:val="clear" w:color="auto" w:fill="auto"/>
              </w:rPr>
            </w:pPr>
            <w:r>
              <w:rPr>
                <w:rFonts w:ascii="Times New Roman" w:hAnsi="Times New Roman" w:cs="Times New Roman"/>
                <w:color w:val="000000"/>
                <w:kern w:val="0"/>
                <w:szCs w:val="21"/>
                <w:highlight w:val="none"/>
                <w:shd w:val="clear" w:color="auto" w:fill="auto"/>
              </w:rPr>
              <w:t>注册</w:t>
            </w:r>
            <w:r>
              <w:rPr>
                <w:rFonts w:ascii="Times New Roman" w:hAnsi="Times New Roman" w:cs="Times New Roman"/>
                <w:kern w:val="0"/>
                <w:szCs w:val="21"/>
                <w:highlight w:val="none"/>
                <w:shd w:val="clear" w:color="auto" w:fill="auto"/>
              </w:rPr>
              <w:t>资金</w:t>
            </w:r>
          </w:p>
        </w:tc>
        <w:tc>
          <w:tcPr>
            <w:tcW w:w="3071" w:type="dxa"/>
            <w:gridSpan w:val="2"/>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color w:val="000000"/>
                <w:szCs w:val="21"/>
                <w:highlight w:val="none"/>
                <w:shd w:val="clear" w:color="auto" w:fill="auto"/>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color w:val="000000"/>
                <w:szCs w:val="21"/>
                <w:highlight w:val="none"/>
                <w:shd w:val="clear" w:color="auto" w:fill="auto"/>
              </w:rPr>
            </w:pPr>
            <w:r>
              <w:rPr>
                <w:rFonts w:ascii="Times New Roman" w:hAnsi="Times New Roman" w:cs="Times New Roman"/>
                <w:kern w:val="0"/>
                <w:szCs w:val="21"/>
                <w:highlight w:val="none"/>
                <w:shd w:val="clear" w:color="auto" w:fill="auto"/>
              </w:rPr>
              <w:t>成立时间</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注册地址</w:t>
            </w:r>
          </w:p>
        </w:tc>
        <w:tc>
          <w:tcPr>
            <w:tcW w:w="6474" w:type="dxa"/>
            <w:gridSpan w:val="4"/>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邮政编码</w:t>
            </w:r>
          </w:p>
        </w:tc>
        <w:tc>
          <w:tcPr>
            <w:tcW w:w="3071" w:type="dxa"/>
            <w:gridSpan w:val="2"/>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员工总数</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vMerge w:val="restart"/>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联系方式</w:t>
            </w:r>
          </w:p>
        </w:tc>
        <w:tc>
          <w:tcPr>
            <w:tcW w:w="993"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联系人</w:t>
            </w:r>
          </w:p>
        </w:tc>
        <w:tc>
          <w:tcPr>
            <w:tcW w:w="2078"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vMerge w:val="continue"/>
            <w:tcBorders>
              <w:top w:val="single" w:color="auto" w:sz="4" w:space="0"/>
              <w:left w:val="single" w:color="auto" w:sz="4" w:space="0"/>
              <w:bottom w:val="single" w:color="auto" w:sz="4" w:space="0"/>
              <w:right w:val="single" w:color="auto" w:sz="4" w:space="0"/>
            </w:tcBorders>
            <w:vAlign w:val="center"/>
          </w:tcPr>
          <w:p>
            <w:pPr>
              <w:spacing w:before="0" w:after="0"/>
              <w:rPr>
                <w:rFonts w:ascii="Times New Roman" w:hAnsi="Times New Roman" w:cs="Times New Roman"/>
                <w:szCs w:val="21"/>
                <w:highlight w:val="none"/>
                <w:shd w:val="clear" w:color="auto" w:fill="auto"/>
              </w:rPr>
            </w:pPr>
          </w:p>
        </w:tc>
        <w:tc>
          <w:tcPr>
            <w:tcW w:w="993"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网址</w:t>
            </w:r>
          </w:p>
        </w:tc>
        <w:tc>
          <w:tcPr>
            <w:tcW w:w="2078"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传真</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exact"/>
        </w:trPr>
        <w:tc>
          <w:tcPr>
            <w:tcW w:w="28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法定代表人</w:t>
            </w:r>
          </w:p>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color w:val="000000"/>
                <w:kern w:val="0"/>
                <w:szCs w:val="21"/>
                <w:highlight w:val="none"/>
                <w:shd w:val="clear" w:color="auto" w:fill="auto"/>
              </w:rPr>
              <w:t>（单位负责人）</w:t>
            </w:r>
          </w:p>
        </w:tc>
        <w:tc>
          <w:tcPr>
            <w:tcW w:w="993"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姓名</w:t>
            </w:r>
          </w:p>
        </w:tc>
        <w:tc>
          <w:tcPr>
            <w:tcW w:w="2078"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exact"/>
        </w:trPr>
        <w:tc>
          <w:tcPr>
            <w:tcW w:w="28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color w:val="000000"/>
                <w:szCs w:val="21"/>
                <w:highlight w:val="none"/>
                <w:shd w:val="clear" w:color="auto" w:fill="auto"/>
              </w:rPr>
            </w:pPr>
            <w:r>
              <w:rPr>
                <w:rFonts w:ascii="Times New Roman" w:hAnsi="Times New Roman" w:cs="Times New Roman"/>
                <w:kern w:val="0"/>
                <w:szCs w:val="21"/>
                <w:highlight w:val="none"/>
                <w:shd w:val="clear" w:color="auto" w:fill="auto"/>
              </w:rPr>
              <w:t>投标人须知要求投标人需具有的各类资质证书</w:t>
            </w:r>
          </w:p>
        </w:tc>
        <w:tc>
          <w:tcPr>
            <w:tcW w:w="6474" w:type="dxa"/>
            <w:gridSpan w:val="4"/>
            <w:tcBorders>
              <w:top w:val="single" w:color="auto" w:sz="4" w:space="0"/>
              <w:left w:val="single" w:color="auto" w:sz="4" w:space="0"/>
              <w:bottom w:val="single" w:color="auto" w:sz="4" w:space="0"/>
              <w:right w:val="single" w:color="auto" w:sz="4" w:space="0"/>
            </w:tcBorders>
            <w:vAlign w:val="center"/>
          </w:tcPr>
          <w:p>
            <w:pPr>
              <w:topLinePunct/>
              <w:spacing w:before="0" w:after="0"/>
              <w:ind w:firstLine="105" w:firstLineChars="50"/>
              <w:rPr>
                <w:rFonts w:ascii="Times New Roman" w:hAnsi="Times New Roman" w:cs="Times New Roman"/>
                <w:color w:val="000000"/>
                <w:szCs w:val="21"/>
                <w:highlight w:val="none"/>
                <w:shd w:val="clear" w:color="auto" w:fill="auto"/>
              </w:rPr>
            </w:pPr>
            <w:r>
              <w:rPr>
                <w:rFonts w:ascii="Times New Roman" w:hAnsi="Times New Roman" w:cs="Times New Roman"/>
                <w:kern w:val="0"/>
                <w:szCs w:val="21"/>
                <w:highlight w:val="none"/>
                <w:shd w:val="clear" w:color="auto" w:fill="auto"/>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color w:val="000000"/>
                <w:szCs w:val="21"/>
                <w:highlight w:val="none"/>
                <w:shd w:val="clear" w:color="auto" w:fill="auto"/>
              </w:rPr>
            </w:pPr>
            <w:r>
              <w:rPr>
                <w:rFonts w:ascii="Times New Roman" w:hAnsi="Times New Roman" w:cs="Times New Roman"/>
                <w:kern w:val="0"/>
                <w:szCs w:val="21"/>
                <w:highlight w:val="none"/>
                <w:shd w:val="clear" w:color="auto" w:fill="auto"/>
              </w:rPr>
              <w:t>基本账户开户银行</w:t>
            </w:r>
          </w:p>
        </w:tc>
        <w:tc>
          <w:tcPr>
            <w:tcW w:w="6474" w:type="dxa"/>
            <w:gridSpan w:val="4"/>
            <w:tcBorders>
              <w:top w:val="single" w:color="auto" w:sz="4" w:space="0"/>
              <w:left w:val="single" w:color="auto" w:sz="4" w:space="0"/>
              <w:bottom w:val="single" w:color="auto" w:sz="4" w:space="0"/>
              <w:right w:val="single" w:color="auto" w:sz="4" w:space="0"/>
            </w:tcBorders>
            <w:vAlign w:val="center"/>
          </w:tcPr>
          <w:p>
            <w:pPr>
              <w:topLinePunct/>
              <w:spacing w:before="0" w:after="0"/>
              <w:ind w:firstLine="105" w:firstLineChars="50"/>
              <w:rPr>
                <w:rFonts w:ascii="Times New Roman" w:hAnsi="Times New Roman" w:cs="Times New Roman"/>
                <w:color w:val="00000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基本账户银行账号</w:t>
            </w:r>
          </w:p>
        </w:tc>
        <w:tc>
          <w:tcPr>
            <w:tcW w:w="6474" w:type="dxa"/>
            <w:gridSpan w:val="4"/>
            <w:tcBorders>
              <w:top w:val="single" w:color="auto" w:sz="4" w:space="0"/>
              <w:left w:val="single" w:color="auto" w:sz="4" w:space="0"/>
              <w:right w:val="single" w:color="auto" w:sz="4" w:space="0"/>
            </w:tcBorders>
            <w:vAlign w:val="center"/>
          </w:tcPr>
          <w:p>
            <w:pPr>
              <w:topLinePunct/>
              <w:spacing w:before="0" w:after="0"/>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近三年营业额</w:t>
            </w:r>
          </w:p>
        </w:tc>
        <w:tc>
          <w:tcPr>
            <w:tcW w:w="6474" w:type="dxa"/>
            <w:gridSpan w:val="4"/>
            <w:tcBorders>
              <w:top w:val="single" w:color="auto" w:sz="4" w:space="0"/>
              <w:left w:val="single" w:color="auto" w:sz="4" w:space="0"/>
              <w:right w:val="single" w:color="auto" w:sz="4" w:space="0"/>
            </w:tcBorders>
            <w:vAlign w:val="center"/>
          </w:tcPr>
          <w:p>
            <w:pPr>
              <w:topLinePunct/>
              <w:spacing w:before="0" w:after="0"/>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3" w:hRule="exact"/>
        </w:trPr>
        <w:tc>
          <w:tcPr>
            <w:tcW w:w="2835" w:type="dxa"/>
            <w:tcBorders>
              <w:top w:val="single" w:color="auto" w:sz="4" w:space="0"/>
              <w:left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投标人关联企业情况</w:t>
            </w:r>
          </w:p>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（包括但不限于与投标人法定代表人（单位负责人）为同一人或者存在控股、管理关系的不同单位）</w:t>
            </w:r>
          </w:p>
        </w:tc>
        <w:tc>
          <w:tcPr>
            <w:tcW w:w="6474" w:type="dxa"/>
            <w:gridSpan w:val="4"/>
            <w:tcBorders>
              <w:top w:val="single" w:color="auto" w:sz="4" w:space="0"/>
              <w:left w:val="single" w:color="auto" w:sz="4" w:space="0"/>
              <w:right w:val="single" w:color="auto" w:sz="4" w:space="0"/>
            </w:tcBorders>
            <w:vAlign w:val="center"/>
          </w:tcPr>
          <w:p>
            <w:pPr>
              <w:topLinePunct/>
              <w:spacing w:before="0" w:after="0"/>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投标设备制造商名称</w:t>
            </w:r>
          </w:p>
        </w:tc>
        <w:tc>
          <w:tcPr>
            <w:tcW w:w="6474" w:type="dxa"/>
            <w:gridSpan w:val="4"/>
            <w:tcBorders>
              <w:top w:val="single" w:color="auto" w:sz="4" w:space="0"/>
              <w:left w:val="single" w:color="auto" w:sz="4" w:space="0"/>
              <w:right w:val="single" w:color="auto" w:sz="4" w:space="0"/>
            </w:tcBorders>
            <w:vAlign w:val="center"/>
          </w:tcPr>
          <w:p>
            <w:pPr>
              <w:topLinePunct/>
              <w:spacing w:before="0" w:after="0"/>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6" w:hRule="exact"/>
        </w:trPr>
        <w:tc>
          <w:tcPr>
            <w:tcW w:w="2835" w:type="dxa"/>
            <w:tcBorders>
              <w:top w:val="single" w:color="auto" w:sz="4" w:space="0"/>
              <w:left w:val="single" w:color="auto" w:sz="4" w:space="0"/>
              <w:right w:val="single" w:color="auto" w:sz="4" w:space="0"/>
            </w:tcBorders>
            <w:vAlign w:val="center"/>
          </w:tcPr>
          <w:p>
            <w:pPr>
              <w:topLinePunct/>
              <w:spacing w:before="0" w:after="0"/>
              <w:jc w:val="center"/>
              <w:rPr>
                <w:rFonts w:ascii="Times New Roman" w:hAnsi="Times New Roman" w:cs="Times New Roman"/>
                <w:kern w:val="0"/>
                <w:szCs w:val="21"/>
                <w:highlight w:val="none"/>
                <w:shd w:val="clear" w:color="auto" w:fill="auto"/>
              </w:rPr>
            </w:pPr>
            <w:r>
              <w:rPr>
                <w:rFonts w:ascii="Times New Roman" w:hAnsi="Times New Roman" w:cs="Times New Roman"/>
                <w:kern w:val="0"/>
                <w:szCs w:val="21"/>
                <w:highlight w:val="none"/>
                <w:shd w:val="clear" w:color="auto" w:fill="auto"/>
              </w:rPr>
              <w:t>投标人须知要求</w:t>
            </w:r>
          </w:p>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投标设备制造商需具有的资质证书</w:t>
            </w:r>
          </w:p>
        </w:tc>
        <w:tc>
          <w:tcPr>
            <w:tcW w:w="6474" w:type="dxa"/>
            <w:gridSpan w:val="4"/>
            <w:tcBorders>
              <w:top w:val="single" w:color="auto" w:sz="4" w:space="0"/>
              <w:left w:val="single" w:color="auto" w:sz="4" w:space="0"/>
              <w:right w:val="single" w:color="auto" w:sz="4" w:space="0"/>
            </w:tcBorders>
            <w:vAlign w:val="center"/>
          </w:tcPr>
          <w:p>
            <w:pPr>
              <w:topLinePunct/>
              <w:spacing w:before="0" w:after="0"/>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835" w:type="dxa"/>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r>
              <w:rPr>
                <w:rFonts w:ascii="Times New Roman" w:hAnsi="Times New Roman" w:cs="Times New Roman"/>
                <w:kern w:val="0"/>
                <w:szCs w:val="21"/>
                <w:highlight w:val="none"/>
                <w:shd w:val="clear" w:color="auto" w:fill="auto"/>
              </w:rPr>
              <w:t>备注</w:t>
            </w:r>
          </w:p>
        </w:tc>
        <w:tc>
          <w:tcPr>
            <w:tcW w:w="6474" w:type="dxa"/>
            <w:gridSpan w:val="4"/>
            <w:tcBorders>
              <w:top w:val="single" w:color="auto" w:sz="4" w:space="0"/>
              <w:left w:val="single" w:color="auto" w:sz="4" w:space="0"/>
              <w:bottom w:val="single" w:color="auto" w:sz="4" w:space="0"/>
              <w:right w:val="single" w:color="auto" w:sz="4" w:space="0"/>
            </w:tcBorders>
            <w:vAlign w:val="center"/>
          </w:tcPr>
          <w:p>
            <w:pPr>
              <w:topLinePunct/>
              <w:spacing w:before="0" w:after="0"/>
              <w:jc w:val="center"/>
              <w:rPr>
                <w:rFonts w:ascii="Times New Roman" w:hAnsi="Times New Roman" w:cs="Times New Roman"/>
                <w:szCs w:val="21"/>
                <w:highlight w:val="none"/>
                <w:shd w:val="clear" w:color="auto" w:fill="auto"/>
              </w:rPr>
            </w:pPr>
          </w:p>
        </w:tc>
      </w:tr>
    </w:tbl>
    <w:p>
      <w:pPr>
        <w:widowControl/>
        <w:spacing w:before="0" w:after="0" w:line="276" w:lineRule="auto"/>
        <w:jc w:val="left"/>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注：1.投标人应根据投标人须知第3.5.1项的要求在本表后附相关证明材料及单位简介，相关证明材料未覆盖招标公告投标人资格要求所列相关证书的，应一并在此列出，主要包括但不限于：</w:t>
      </w:r>
    </w:p>
    <w:p>
      <w:pPr>
        <w:widowControl/>
        <w:spacing w:before="0" w:after="0"/>
        <w:ind w:firstLine="420" w:firstLineChars="200"/>
        <w:jc w:val="left"/>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1）营业执照副本</w:t>
      </w:r>
    </w:p>
    <w:p>
      <w:pPr>
        <w:widowControl/>
        <w:spacing w:before="0" w:after="0"/>
        <w:ind w:firstLine="420" w:firstLineChars="200"/>
        <w:jc w:val="left"/>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2）资质证书（如需）</w:t>
      </w:r>
    </w:p>
    <w:p>
      <w:pPr>
        <w:widowControl/>
        <w:spacing w:before="0" w:after="0"/>
        <w:ind w:firstLine="420" w:firstLineChars="200"/>
        <w:jc w:val="left"/>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3）质量管理体系认证证书及相关体系认证证书（如需）</w:t>
      </w:r>
    </w:p>
    <w:p>
      <w:pPr>
        <w:widowControl/>
        <w:spacing w:before="0" w:after="0"/>
        <w:ind w:firstLine="420" w:firstLineChars="200"/>
        <w:jc w:val="left"/>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4）相关证件（如需）</w:t>
      </w:r>
    </w:p>
    <w:p>
      <w:pPr>
        <w:widowControl/>
        <w:spacing w:before="0" w:after="0" w:line="276" w:lineRule="auto"/>
        <w:ind w:firstLine="420" w:firstLineChars="200"/>
        <w:jc w:val="left"/>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2.以联合体形式参与投标的，联合体各成员应分别填写本表并附相关证明材料。</w:t>
      </w:r>
      <w:r>
        <w:rPr>
          <w:rFonts w:ascii="Times New Roman" w:hAnsi="Times New Roman" w:cs="Times New Roman"/>
          <w:szCs w:val="21"/>
          <w:highlight w:val="none"/>
          <w:shd w:val="clear" w:color="auto" w:fill="auto"/>
        </w:rPr>
        <w:br w:type="page"/>
      </w:r>
    </w:p>
    <w:p>
      <w:pPr>
        <w:pStyle w:val="168"/>
        <w:spacing w:before="0" w:after="0" w:line="360" w:lineRule="auto"/>
        <w:outlineLvl w:val="3"/>
        <w:rPr>
          <w:rFonts w:eastAsia="黑体"/>
          <w:b/>
          <w:sz w:val="28"/>
          <w:szCs w:val="28"/>
          <w:highlight w:val="none"/>
          <w:shd w:val="clear" w:color="auto" w:fill="auto"/>
        </w:rPr>
      </w:pPr>
      <w:bookmarkStart w:id="560" w:name="_Toc532285081"/>
      <w:bookmarkStart w:id="561" w:name="_Toc453597559"/>
      <w:r>
        <w:rPr>
          <w:rFonts w:eastAsia="黑体"/>
          <w:b/>
          <w:sz w:val="28"/>
          <w:szCs w:val="28"/>
          <w:highlight w:val="none"/>
          <w:shd w:val="clear" w:color="auto" w:fill="auto"/>
        </w:rPr>
        <w:t>5.</w:t>
      </w:r>
      <w:r>
        <w:rPr>
          <w:rFonts w:hint="eastAsia" w:eastAsia="黑体"/>
          <w:b/>
          <w:sz w:val="28"/>
          <w:szCs w:val="28"/>
          <w:highlight w:val="none"/>
          <w:shd w:val="clear" w:color="auto" w:fill="auto"/>
        </w:rPr>
        <w:t>2</w:t>
      </w:r>
      <w:r>
        <w:rPr>
          <w:rFonts w:eastAsia="黑体"/>
          <w:b/>
          <w:sz w:val="28"/>
          <w:szCs w:val="28"/>
          <w:highlight w:val="none"/>
          <w:shd w:val="clear" w:color="auto" w:fill="auto"/>
        </w:rPr>
        <w:t xml:space="preserve"> 投标人业绩情况表</w:t>
      </w:r>
      <w:bookmarkEnd w:id="560"/>
    </w:p>
    <w:p>
      <w:pPr>
        <w:adjustRightInd w:val="0"/>
        <w:snapToGrid w:val="0"/>
        <w:spacing w:before="0" w:after="0" w:line="360" w:lineRule="auto"/>
        <w:outlineLvl w:val="4"/>
        <w:rPr>
          <w:rFonts w:ascii="Times New Roman" w:hAnsi="Times New Roman" w:eastAsia="黑体" w:cs="Times New Roman"/>
          <w:b/>
          <w:snapToGrid w:val="0"/>
          <w:color w:val="000000"/>
          <w:kern w:val="0"/>
          <w:sz w:val="24"/>
          <w:szCs w:val="24"/>
          <w:highlight w:val="none"/>
          <w:shd w:val="clear" w:color="auto" w:fill="auto"/>
        </w:rPr>
      </w:pPr>
      <w:r>
        <w:rPr>
          <w:rFonts w:ascii="Times New Roman" w:hAnsi="Times New Roman" w:eastAsia="黑体" w:cs="Times New Roman"/>
          <w:b/>
          <w:snapToGrid w:val="0"/>
          <w:color w:val="000000"/>
          <w:kern w:val="0"/>
          <w:sz w:val="24"/>
          <w:szCs w:val="24"/>
          <w:highlight w:val="none"/>
          <w:shd w:val="clear" w:color="auto" w:fill="auto"/>
        </w:rPr>
        <w:t>5.</w:t>
      </w:r>
      <w:r>
        <w:rPr>
          <w:rFonts w:hint="eastAsia" w:ascii="Times New Roman" w:hAnsi="Times New Roman" w:eastAsia="黑体" w:cs="Times New Roman"/>
          <w:b/>
          <w:snapToGrid w:val="0"/>
          <w:color w:val="000000"/>
          <w:kern w:val="0"/>
          <w:sz w:val="24"/>
          <w:szCs w:val="24"/>
          <w:highlight w:val="none"/>
          <w:shd w:val="clear" w:color="auto" w:fill="auto"/>
        </w:rPr>
        <w:t>2</w:t>
      </w:r>
      <w:r>
        <w:rPr>
          <w:rFonts w:ascii="Times New Roman" w:hAnsi="Times New Roman" w:eastAsia="黑体" w:cs="Times New Roman"/>
          <w:b/>
          <w:snapToGrid w:val="0"/>
          <w:color w:val="000000"/>
          <w:kern w:val="0"/>
          <w:sz w:val="24"/>
          <w:szCs w:val="24"/>
          <w:highlight w:val="none"/>
          <w:shd w:val="clear" w:color="auto" w:fill="auto"/>
        </w:rPr>
        <w:t>.1  项目业绩汇总表</w:t>
      </w:r>
    </w:p>
    <w:p>
      <w:pPr>
        <w:spacing w:before="0" w:after="0" w:line="440" w:lineRule="exact"/>
        <w:ind w:left="420" w:leftChars="200"/>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项目业绩汇总表</w:t>
      </w:r>
    </w:p>
    <w:tbl>
      <w:tblPr>
        <w:tblStyle w:val="42"/>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560"/>
        <w:gridCol w:w="2835"/>
        <w:gridCol w:w="992"/>
        <w:gridCol w:w="1276"/>
        <w:gridCol w:w="9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序号</w:t>
            </w:r>
          </w:p>
        </w:tc>
        <w:tc>
          <w:tcPr>
            <w:tcW w:w="1560"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用户名称</w:t>
            </w:r>
          </w:p>
        </w:tc>
        <w:tc>
          <w:tcPr>
            <w:tcW w:w="283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项目名称</w:t>
            </w:r>
          </w:p>
        </w:tc>
        <w:tc>
          <w:tcPr>
            <w:tcW w:w="992"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供货</w:t>
            </w:r>
          </w:p>
          <w:p>
            <w:pPr>
              <w:adjustRightInd w:val="0"/>
              <w:snapToGrid w:val="0"/>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范围</w:t>
            </w:r>
          </w:p>
        </w:tc>
        <w:tc>
          <w:tcPr>
            <w:tcW w:w="127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合同</w:t>
            </w:r>
          </w:p>
          <w:p>
            <w:pPr>
              <w:adjustRightInd w:val="0"/>
              <w:snapToGrid w:val="0"/>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金额</w:t>
            </w:r>
          </w:p>
        </w:tc>
        <w:tc>
          <w:tcPr>
            <w:tcW w:w="90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合同签订时间</w:t>
            </w:r>
          </w:p>
        </w:tc>
        <w:tc>
          <w:tcPr>
            <w:tcW w:w="1275" w:type="dxa"/>
            <w:vAlign w:val="center"/>
          </w:tcPr>
          <w:p>
            <w:pPr>
              <w:adjustRightInd w:val="0"/>
              <w:snapToGrid w:val="0"/>
              <w:spacing w:before="0" w:after="0"/>
              <w:jc w:val="center"/>
              <w:rPr>
                <w:rFonts w:ascii="Times New Roman" w:hAnsi="Times New Roman" w:cs="Times New Roman"/>
                <w:bCs/>
                <w:szCs w:val="21"/>
                <w:highlight w:val="none"/>
                <w:shd w:val="clear" w:color="auto" w:fill="auto"/>
              </w:rPr>
            </w:pPr>
            <w:r>
              <w:rPr>
                <w:rFonts w:ascii="Times New Roman" w:hAnsi="Times New Roman" w:cs="Times New Roman"/>
                <w:bCs/>
                <w:szCs w:val="21"/>
                <w:highlight w:val="none"/>
                <w:shd w:val="clear" w:color="auto" w:fill="auto"/>
              </w:rPr>
              <w:t>所附合同复印件等证明材料对应页码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560"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283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92"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0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560"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283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92"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0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5" w:type="dxa"/>
            <w:vAlign w:val="center"/>
          </w:tcPr>
          <w:p>
            <w:pPr>
              <w:adjustRightInd w:val="0"/>
              <w:snapToGrid w:val="0"/>
              <w:spacing w:before="0" w:after="0"/>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560"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283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92"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0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5" w:type="dxa"/>
            <w:vAlign w:val="center"/>
          </w:tcPr>
          <w:p>
            <w:pPr>
              <w:adjustRightInd w:val="0"/>
              <w:snapToGrid w:val="0"/>
              <w:spacing w:before="0" w:after="0"/>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560"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283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92"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0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5" w:type="dxa"/>
            <w:vAlign w:val="center"/>
          </w:tcPr>
          <w:p>
            <w:pPr>
              <w:adjustRightInd w:val="0"/>
              <w:snapToGrid w:val="0"/>
              <w:spacing w:before="0" w:after="0"/>
              <w:rPr>
                <w:rFonts w:ascii="Times New Roman" w:hAnsi="Times New Roman" w:cs="Times New Roman"/>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0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560"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283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92"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6"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905" w:type="dxa"/>
            <w:vAlign w:val="center"/>
          </w:tcPr>
          <w:p>
            <w:pPr>
              <w:adjustRightInd w:val="0"/>
              <w:snapToGrid w:val="0"/>
              <w:spacing w:before="0" w:after="0"/>
              <w:jc w:val="center"/>
              <w:rPr>
                <w:rFonts w:ascii="Times New Roman" w:hAnsi="Times New Roman" w:cs="Times New Roman"/>
                <w:szCs w:val="21"/>
                <w:highlight w:val="none"/>
                <w:shd w:val="clear" w:color="auto" w:fill="auto"/>
              </w:rPr>
            </w:pPr>
          </w:p>
        </w:tc>
        <w:tc>
          <w:tcPr>
            <w:tcW w:w="1275" w:type="dxa"/>
            <w:vAlign w:val="center"/>
          </w:tcPr>
          <w:p>
            <w:pPr>
              <w:adjustRightInd w:val="0"/>
              <w:snapToGrid w:val="0"/>
              <w:spacing w:before="0" w:after="0"/>
              <w:rPr>
                <w:rFonts w:ascii="Times New Roman" w:hAnsi="Times New Roman" w:cs="Times New Roman"/>
                <w:szCs w:val="21"/>
                <w:highlight w:val="none"/>
                <w:shd w:val="clear" w:color="auto" w:fill="auto"/>
              </w:rPr>
            </w:pPr>
          </w:p>
        </w:tc>
      </w:tr>
    </w:tbl>
    <w:p>
      <w:pPr>
        <w:widowControl/>
        <w:spacing w:before="0" w:after="0" w:line="360" w:lineRule="auto"/>
        <w:jc w:val="left"/>
        <w:rPr>
          <w:rFonts w:ascii="Times New Roman" w:hAnsi="Times New Roman" w:cs="Times New Roman"/>
          <w:b/>
          <w:szCs w:val="21"/>
          <w:highlight w:val="none"/>
          <w:shd w:val="clear" w:color="auto" w:fill="auto"/>
        </w:rPr>
      </w:pPr>
    </w:p>
    <w:p>
      <w:pPr>
        <w:widowControl/>
        <w:rPr>
          <w:rFonts w:ascii="Times New Roman" w:hAnsi="Times New Roman" w:cs="Times New Roman"/>
          <w:kern w:val="0"/>
          <w:sz w:val="22"/>
          <w:szCs w:val="21"/>
          <w:highlight w:val="none"/>
          <w:shd w:val="clear" w:color="auto" w:fill="auto"/>
        </w:rPr>
      </w:pPr>
      <w:r>
        <w:rPr>
          <w:rFonts w:ascii="Times New Roman" w:hAnsi="Times New Roman" w:cs="Times New Roman"/>
          <w:szCs w:val="21"/>
          <w:highlight w:val="none"/>
          <w:shd w:val="clear" w:color="auto" w:fill="auto"/>
        </w:rPr>
        <w:br w:type="page"/>
      </w:r>
    </w:p>
    <w:p>
      <w:pPr>
        <w:adjustRightInd w:val="0"/>
        <w:snapToGrid w:val="0"/>
        <w:spacing w:before="0" w:after="0" w:line="360" w:lineRule="auto"/>
        <w:outlineLvl w:val="4"/>
        <w:rPr>
          <w:rFonts w:ascii="Times New Roman" w:hAnsi="Times New Roman" w:eastAsia="黑体" w:cs="Times New Roman"/>
          <w:b/>
          <w:snapToGrid w:val="0"/>
          <w:color w:val="000000"/>
          <w:kern w:val="0"/>
          <w:sz w:val="24"/>
          <w:szCs w:val="24"/>
          <w:highlight w:val="none"/>
          <w:shd w:val="clear" w:color="auto" w:fill="auto"/>
        </w:rPr>
      </w:pPr>
      <w:r>
        <w:rPr>
          <w:rFonts w:ascii="Times New Roman" w:hAnsi="Times New Roman" w:eastAsia="黑体" w:cs="Times New Roman"/>
          <w:b/>
          <w:snapToGrid w:val="0"/>
          <w:color w:val="000000"/>
          <w:kern w:val="0"/>
          <w:sz w:val="24"/>
          <w:szCs w:val="24"/>
          <w:highlight w:val="none"/>
          <w:shd w:val="clear" w:color="auto" w:fill="auto"/>
        </w:rPr>
        <w:t>5.</w:t>
      </w:r>
      <w:r>
        <w:rPr>
          <w:rFonts w:hint="eastAsia" w:ascii="Times New Roman" w:hAnsi="Times New Roman" w:eastAsia="黑体" w:cs="Times New Roman"/>
          <w:b/>
          <w:snapToGrid w:val="0"/>
          <w:color w:val="000000"/>
          <w:kern w:val="0"/>
          <w:sz w:val="24"/>
          <w:szCs w:val="24"/>
          <w:highlight w:val="none"/>
          <w:shd w:val="clear" w:color="auto" w:fill="auto"/>
        </w:rPr>
        <w:t>2</w:t>
      </w:r>
      <w:r>
        <w:rPr>
          <w:rFonts w:ascii="Times New Roman" w:hAnsi="Times New Roman" w:eastAsia="黑体" w:cs="Times New Roman"/>
          <w:b/>
          <w:snapToGrid w:val="0"/>
          <w:color w:val="000000"/>
          <w:kern w:val="0"/>
          <w:sz w:val="24"/>
          <w:szCs w:val="24"/>
          <w:highlight w:val="none"/>
          <w:shd w:val="clear" w:color="auto" w:fill="auto"/>
        </w:rPr>
        <w:t>.2 近年完成的类似项目情况表</w:t>
      </w:r>
    </w:p>
    <w:p>
      <w:pPr>
        <w:spacing w:before="0" w:after="0" w:line="440" w:lineRule="exact"/>
        <w:ind w:left="420" w:leftChars="200"/>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近年完成的类似项目情况表</w:t>
      </w:r>
    </w:p>
    <w:p>
      <w:pPr>
        <w:pStyle w:val="149"/>
        <w:spacing w:before="0" w:after="0" w:line="360" w:lineRule="auto"/>
        <w:ind w:left="420" w:firstLine="4" w:firstLineChars="2"/>
        <w:jc w:val="left"/>
        <w:rPr>
          <w:rFonts w:ascii="Times New Roman" w:hAnsi="Times New Roman" w:eastAsia="宋体"/>
          <w:sz w:val="21"/>
          <w:szCs w:val="21"/>
          <w:highlight w:val="none"/>
          <w:shd w:val="clear" w:color="auto" w:fill="auto"/>
          <w:lang w:eastAsia="zh-CN"/>
        </w:rPr>
      </w:pPr>
      <w:r>
        <w:rPr>
          <w:rFonts w:ascii="Times New Roman" w:hAnsi="Times New Roman" w:eastAsia="宋体"/>
          <w:sz w:val="21"/>
          <w:szCs w:val="21"/>
          <w:highlight w:val="none"/>
          <w:shd w:val="clear" w:color="auto" w:fill="auto"/>
          <w:lang w:eastAsia="zh-CN"/>
        </w:rPr>
        <w:t>序号：</w:t>
      </w:r>
    </w:p>
    <w:tbl>
      <w:tblPr>
        <w:tblStyle w:val="42"/>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5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3261" w:type="dxa"/>
            <w:vAlign w:val="center"/>
          </w:tcPr>
          <w:p>
            <w:pPr>
              <w:topLinePunct/>
              <w:spacing w:before="0" w:after="0" w:line="440" w:lineRule="exact"/>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货物名称</w:t>
            </w:r>
          </w:p>
        </w:tc>
        <w:tc>
          <w:tcPr>
            <w:tcW w:w="5839" w:type="dxa"/>
          </w:tcPr>
          <w:p>
            <w:pPr>
              <w:topLinePunct/>
              <w:spacing w:before="0" w:after="0" w:line="440" w:lineRule="exact"/>
              <w:rPr>
                <w:rFonts w:ascii="Times New Roman" w:hAnsi="Times New Roman" w:cs="Times New Roman"/>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261" w:type="dxa"/>
            <w:vAlign w:val="center"/>
          </w:tcPr>
          <w:p>
            <w:pPr>
              <w:topLinePunct/>
              <w:spacing w:before="0" w:after="0" w:line="440" w:lineRule="exact"/>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规格和型号</w:t>
            </w:r>
          </w:p>
        </w:tc>
        <w:tc>
          <w:tcPr>
            <w:tcW w:w="5839" w:type="dxa"/>
          </w:tcPr>
          <w:p>
            <w:pPr>
              <w:topLinePunct/>
              <w:spacing w:before="0" w:after="0" w:line="440" w:lineRule="exact"/>
              <w:rPr>
                <w:rFonts w:ascii="Times New Roman" w:hAnsi="Times New Roman" w:cs="Times New Roman"/>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261" w:type="dxa"/>
            <w:vAlign w:val="center"/>
          </w:tcPr>
          <w:p>
            <w:pPr>
              <w:topLinePunct/>
              <w:spacing w:before="0" w:after="0" w:line="440" w:lineRule="exact"/>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项目名称</w:t>
            </w:r>
          </w:p>
        </w:tc>
        <w:tc>
          <w:tcPr>
            <w:tcW w:w="5839" w:type="dxa"/>
          </w:tcPr>
          <w:p>
            <w:pPr>
              <w:topLinePunct/>
              <w:spacing w:before="0" w:after="0" w:line="440" w:lineRule="exact"/>
              <w:rPr>
                <w:rFonts w:ascii="Times New Roman" w:hAnsi="Times New Roman" w:cs="Times New Roman"/>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261" w:type="dxa"/>
            <w:vAlign w:val="center"/>
          </w:tcPr>
          <w:p>
            <w:pPr>
              <w:topLinePunct/>
              <w:spacing w:before="0" w:after="0" w:line="440" w:lineRule="exact"/>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买方名称</w:t>
            </w:r>
          </w:p>
        </w:tc>
        <w:tc>
          <w:tcPr>
            <w:tcW w:w="5839" w:type="dxa"/>
          </w:tcPr>
          <w:p>
            <w:pPr>
              <w:topLinePunct/>
              <w:spacing w:before="0" w:after="0" w:line="440" w:lineRule="exact"/>
              <w:rPr>
                <w:rFonts w:ascii="Times New Roman" w:hAnsi="Times New Roman" w:cs="Times New Roman"/>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3261" w:type="dxa"/>
            <w:vAlign w:val="center"/>
          </w:tcPr>
          <w:p>
            <w:pPr>
              <w:topLinePunct/>
              <w:spacing w:before="0" w:after="0" w:line="440" w:lineRule="exact"/>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买方联系人及电话</w:t>
            </w:r>
          </w:p>
        </w:tc>
        <w:tc>
          <w:tcPr>
            <w:tcW w:w="5839" w:type="dxa"/>
          </w:tcPr>
          <w:p>
            <w:pPr>
              <w:topLinePunct/>
              <w:spacing w:before="0" w:after="0" w:line="440" w:lineRule="exact"/>
              <w:rPr>
                <w:rFonts w:ascii="Times New Roman" w:hAnsi="Times New Roman" w:cs="Times New Roman"/>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3261" w:type="dxa"/>
            <w:vAlign w:val="center"/>
          </w:tcPr>
          <w:p>
            <w:pPr>
              <w:topLinePunct/>
              <w:spacing w:before="0" w:after="0" w:line="440" w:lineRule="exact"/>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合同价格</w:t>
            </w:r>
          </w:p>
        </w:tc>
        <w:tc>
          <w:tcPr>
            <w:tcW w:w="5839" w:type="dxa"/>
          </w:tcPr>
          <w:p>
            <w:pPr>
              <w:topLinePunct/>
              <w:spacing w:before="0" w:after="0" w:line="440" w:lineRule="exact"/>
              <w:rPr>
                <w:rFonts w:ascii="Times New Roman" w:hAnsi="Times New Roman" w:cs="Times New Roman"/>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3261" w:type="dxa"/>
            <w:vAlign w:val="center"/>
          </w:tcPr>
          <w:p>
            <w:pPr>
              <w:topLinePunct/>
              <w:spacing w:before="0" w:after="0" w:line="440" w:lineRule="exact"/>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项目概况及投标人履约情况</w:t>
            </w:r>
          </w:p>
        </w:tc>
        <w:tc>
          <w:tcPr>
            <w:tcW w:w="5839" w:type="dxa"/>
          </w:tcPr>
          <w:p>
            <w:pPr>
              <w:topLinePunct/>
              <w:spacing w:before="0" w:after="0" w:line="440" w:lineRule="exact"/>
              <w:rPr>
                <w:rFonts w:ascii="Times New Roman" w:hAnsi="Times New Roman" w:cs="Times New Roman"/>
                <w:highlight w:val="none"/>
                <w:shd w:val="clear" w:color="auto" w:fill="auto"/>
              </w:rPr>
            </w:pPr>
          </w:p>
          <w:p>
            <w:pPr>
              <w:topLinePunct/>
              <w:spacing w:before="0" w:after="0" w:line="440" w:lineRule="exact"/>
              <w:rPr>
                <w:rFonts w:ascii="Times New Roman" w:hAnsi="Times New Roman" w:cs="Times New Roman"/>
                <w:highlight w:val="none"/>
                <w:shd w:val="clear" w:color="auto" w:fill="auto"/>
              </w:rPr>
            </w:pPr>
          </w:p>
          <w:p>
            <w:pPr>
              <w:topLinePunct/>
              <w:spacing w:before="0" w:after="0" w:line="440" w:lineRule="exact"/>
              <w:rPr>
                <w:rFonts w:ascii="Times New Roman" w:hAnsi="Times New Roman" w:cs="Times New Roman"/>
                <w:highlight w:val="none"/>
                <w:shd w:val="clear" w:color="auto" w:fill="auto"/>
              </w:rPr>
            </w:pPr>
          </w:p>
          <w:p>
            <w:pPr>
              <w:topLinePunct/>
              <w:spacing w:before="0" w:after="0" w:line="440" w:lineRule="exact"/>
              <w:rPr>
                <w:rFonts w:ascii="Times New Roman" w:hAnsi="Times New Roman" w:cs="Times New Roman"/>
                <w:highlight w:val="none"/>
                <w:shd w:val="clear" w:color="auto" w:fill="auto"/>
              </w:rPr>
            </w:pPr>
          </w:p>
          <w:p>
            <w:pPr>
              <w:topLinePunct/>
              <w:spacing w:before="0" w:after="0" w:line="440" w:lineRule="exact"/>
              <w:rPr>
                <w:rFonts w:ascii="Times New Roman" w:hAnsi="Times New Roman" w:cs="Times New Roman"/>
                <w:highlight w:val="none"/>
                <w:shd w:val="clear" w:color="auto" w:fill="auto"/>
              </w:rPr>
            </w:pPr>
          </w:p>
          <w:p>
            <w:pPr>
              <w:topLinePunct/>
              <w:spacing w:before="0" w:after="0" w:line="440" w:lineRule="exact"/>
              <w:rPr>
                <w:rFonts w:ascii="Times New Roman" w:hAnsi="Times New Roman" w:cs="Times New Roman"/>
                <w:highlight w:val="none"/>
                <w:shd w:val="clear" w:color="auto" w:fill="auto"/>
              </w:rPr>
            </w:pPr>
          </w:p>
          <w:p>
            <w:pPr>
              <w:topLinePunct/>
              <w:spacing w:before="0" w:after="0" w:line="440" w:lineRule="exact"/>
              <w:rPr>
                <w:rFonts w:ascii="Times New Roman" w:hAnsi="Times New Roman" w:cs="Times New Roman"/>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3261" w:type="dxa"/>
            <w:vAlign w:val="center"/>
          </w:tcPr>
          <w:p>
            <w:pPr>
              <w:topLinePunct/>
              <w:spacing w:before="0" w:after="0" w:line="440" w:lineRule="exact"/>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备注</w:t>
            </w:r>
          </w:p>
        </w:tc>
        <w:tc>
          <w:tcPr>
            <w:tcW w:w="5839" w:type="dxa"/>
          </w:tcPr>
          <w:p>
            <w:pPr>
              <w:topLinePunct/>
              <w:spacing w:before="0" w:after="0" w:line="440" w:lineRule="exact"/>
              <w:rPr>
                <w:rFonts w:ascii="Times New Roman" w:hAnsi="Times New Roman" w:cs="Times New Roman"/>
                <w:highlight w:val="none"/>
                <w:shd w:val="clear" w:color="auto" w:fill="auto"/>
              </w:rPr>
            </w:pPr>
          </w:p>
        </w:tc>
      </w:tr>
    </w:tbl>
    <w:p>
      <w:pPr>
        <w:spacing w:before="0" w:after="0" w:line="360" w:lineRule="auto"/>
        <w:rPr>
          <w:rFonts w:ascii="Times New Roman" w:hAnsi="Times New Roman" w:cs="Times New Roman"/>
          <w:highlight w:val="none"/>
          <w:shd w:val="clear" w:color="auto" w:fill="auto"/>
        </w:rPr>
      </w:pPr>
      <w:bookmarkStart w:id="562" w:name="_Toc455756344"/>
      <w:r>
        <w:rPr>
          <w:rFonts w:ascii="Times New Roman" w:hAnsi="Times New Roman" w:cs="Times New Roman"/>
          <w:highlight w:val="none"/>
          <w:shd w:val="clear" w:color="auto" w:fill="auto"/>
        </w:rPr>
        <w:t>注：1.每张表格只填写一个业绩，并标明序号。表格可根据项目信息需要细化。</w:t>
      </w:r>
    </w:p>
    <w:p>
      <w:pPr>
        <w:spacing w:before="0" w:after="0" w:line="360" w:lineRule="auto"/>
        <w:ind w:firstLine="420" w:firstLineChars="20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2.投标人应在本表后提供类似项目合同扫描件（包括封面页、合同范围页、签字盖章页）等证明材料，</w:t>
      </w:r>
      <w:r>
        <w:rPr>
          <w:rFonts w:ascii="Times New Roman" w:hAnsi="Times New Roman" w:cs="Times New Roman"/>
          <w:b/>
          <w:highlight w:val="none"/>
          <w:shd w:val="clear" w:color="auto" w:fill="auto"/>
        </w:rPr>
        <w:t>未附证明材料的，该项业绩不予认定。</w:t>
      </w:r>
      <w:r>
        <w:rPr>
          <w:rFonts w:ascii="Times New Roman" w:hAnsi="Times New Roman" w:cs="Times New Roman"/>
          <w:highlight w:val="none"/>
          <w:shd w:val="clear" w:color="auto" w:fill="auto"/>
        </w:rPr>
        <w:t>本款所列证明材料与投标人须知第3.5.3项的要求不一致的，以投标人须知第3.5.3处规定为准。</w:t>
      </w:r>
    </w:p>
    <w:p>
      <w:pPr>
        <w:spacing w:before="0" w:after="0" w:line="360" w:lineRule="auto"/>
        <w:ind w:firstLine="420" w:firstLineChars="20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3.“类似项目”以招标公告和评标办法中载明的认定标准为准，若两者不一致，请投标人分别提供相关合同扫描件。</w:t>
      </w:r>
    </w:p>
    <w:p>
      <w:pPr>
        <w:widowControl/>
        <w:rPr>
          <w:rFonts w:ascii="Times New Roman" w:hAnsi="Times New Roman" w:cs="Times New Roman"/>
          <w:highlight w:val="none"/>
          <w:shd w:val="clear" w:color="auto" w:fill="auto"/>
        </w:rPr>
      </w:pPr>
      <w:r>
        <w:rPr>
          <w:rFonts w:ascii="Times New Roman" w:hAnsi="Times New Roman" w:cs="Times New Roman"/>
          <w:b/>
          <w:highlight w:val="none"/>
          <w:shd w:val="clear" w:color="auto" w:fill="auto"/>
        </w:rPr>
        <w:br w:type="page"/>
      </w:r>
    </w:p>
    <w:p>
      <w:pPr>
        <w:pStyle w:val="168"/>
        <w:spacing w:before="0" w:after="0" w:line="360" w:lineRule="auto"/>
        <w:outlineLvl w:val="3"/>
        <w:rPr>
          <w:rFonts w:eastAsia="黑体"/>
          <w:b/>
          <w:sz w:val="28"/>
          <w:szCs w:val="28"/>
          <w:highlight w:val="none"/>
          <w:shd w:val="clear" w:color="auto" w:fill="auto"/>
        </w:rPr>
      </w:pPr>
      <w:r>
        <w:rPr>
          <w:rFonts w:eastAsia="黑体"/>
          <w:b/>
          <w:sz w:val="28"/>
          <w:szCs w:val="28"/>
          <w:highlight w:val="none"/>
          <w:shd w:val="clear" w:color="auto" w:fill="auto"/>
        </w:rPr>
        <w:t>5.</w:t>
      </w:r>
      <w:r>
        <w:rPr>
          <w:rFonts w:hint="eastAsia" w:eastAsia="黑体"/>
          <w:b/>
          <w:sz w:val="28"/>
          <w:szCs w:val="28"/>
          <w:highlight w:val="none"/>
          <w:shd w:val="clear" w:color="auto" w:fill="auto"/>
        </w:rPr>
        <w:t>3</w:t>
      </w:r>
      <w:r>
        <w:rPr>
          <w:rFonts w:eastAsia="黑体"/>
          <w:b/>
          <w:sz w:val="28"/>
          <w:szCs w:val="28"/>
          <w:highlight w:val="none"/>
          <w:shd w:val="clear" w:color="auto" w:fill="auto"/>
        </w:rPr>
        <w:t>投标人资格声明函</w:t>
      </w:r>
    </w:p>
    <w:p>
      <w:pPr>
        <w:spacing w:before="0" w:after="0" w:line="440" w:lineRule="exact"/>
        <w:ind w:left="420" w:leftChars="200"/>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投标人资格声明函</w:t>
      </w:r>
    </w:p>
    <w:bookmarkEnd w:id="561"/>
    <w:bookmarkEnd w:id="562"/>
    <w:p>
      <w:pPr>
        <w:snapToGrid w:val="0"/>
        <w:spacing w:before="0" w:after="0" w:line="360" w:lineRule="auto"/>
        <w:jc w:val="left"/>
        <w:rPr>
          <w:rFonts w:ascii="Times New Roman" w:hAnsi="Times New Roman" w:cs="Times New Roman"/>
          <w:color w:val="000000"/>
          <w:szCs w:val="21"/>
          <w:highlight w:val="none"/>
          <w:shd w:val="clear" w:color="auto" w:fill="auto"/>
        </w:rPr>
      </w:pPr>
      <w:r>
        <w:rPr>
          <w:rFonts w:ascii="Times New Roman" w:hAnsi="Times New Roman" w:cs="Times New Roman"/>
          <w:color w:val="000000"/>
          <w:szCs w:val="21"/>
          <w:highlight w:val="none"/>
          <w:shd w:val="clear" w:color="auto" w:fill="auto"/>
        </w:rPr>
        <w:t>标段名称：</w:t>
      </w:r>
    </w:p>
    <w:p>
      <w:pPr>
        <w:snapToGrid w:val="0"/>
        <w:spacing w:before="0" w:after="0" w:line="360" w:lineRule="auto"/>
        <w:jc w:val="left"/>
        <w:rPr>
          <w:rFonts w:ascii="Times New Roman" w:hAnsi="Times New Roman" w:cs="Times New Roman"/>
          <w:color w:val="000000"/>
          <w:szCs w:val="21"/>
          <w:highlight w:val="none"/>
          <w:shd w:val="clear" w:color="auto" w:fill="auto"/>
        </w:rPr>
      </w:pPr>
      <w:r>
        <w:rPr>
          <w:rFonts w:ascii="Times New Roman" w:hAnsi="Times New Roman" w:cs="Times New Roman"/>
          <w:color w:val="000000"/>
          <w:szCs w:val="21"/>
          <w:highlight w:val="none"/>
          <w:shd w:val="clear" w:color="auto" w:fill="auto"/>
        </w:rPr>
        <w:t>标段编号：</w:t>
      </w:r>
    </w:p>
    <w:p>
      <w:pPr>
        <w:snapToGrid w:val="0"/>
        <w:spacing w:before="0" w:after="0" w:line="360" w:lineRule="auto"/>
        <w:jc w:val="left"/>
        <w:rPr>
          <w:rFonts w:ascii="Times New Roman" w:hAnsi="Times New Roman" w:cs="Times New Roman"/>
          <w:color w:val="000000"/>
          <w:szCs w:val="21"/>
          <w:highlight w:val="none"/>
          <w:shd w:val="clear" w:color="auto" w:fill="auto"/>
        </w:rPr>
      </w:pPr>
      <w:r>
        <w:rPr>
          <w:rFonts w:ascii="Times New Roman" w:hAnsi="Times New Roman" w:cs="Times New Roman"/>
          <w:color w:val="000000"/>
          <w:szCs w:val="21"/>
          <w:highlight w:val="none"/>
          <w:shd w:val="clear" w:color="auto" w:fill="auto"/>
        </w:rPr>
        <w:t xml:space="preserve">致: </w:t>
      </w:r>
    </w:p>
    <w:p>
      <w:pPr>
        <w:snapToGrid w:val="0"/>
        <w:spacing w:before="0" w:after="0" w:line="360" w:lineRule="auto"/>
        <w:ind w:firstLine="420" w:firstLineChars="200"/>
        <w:jc w:val="left"/>
        <w:rPr>
          <w:rFonts w:ascii="Times New Roman" w:hAnsi="Times New Roman" w:cs="Times New Roman"/>
          <w:color w:val="000000"/>
          <w:szCs w:val="21"/>
          <w:highlight w:val="none"/>
          <w:shd w:val="clear" w:color="auto" w:fill="auto"/>
        </w:rPr>
      </w:pPr>
      <w:r>
        <w:rPr>
          <w:rFonts w:ascii="Times New Roman" w:hAnsi="Times New Roman" w:cs="Times New Roman"/>
          <w:color w:val="000000"/>
          <w:szCs w:val="21"/>
          <w:highlight w:val="none"/>
          <w:shd w:val="clear" w:color="auto" w:fill="auto"/>
        </w:rPr>
        <w:t>我公司愿意针对上述项目进行投标。投标文件中所有关于投标人资格、业绩等的文件、证明、陈述均是真实的、准确的。若有违背，我公司承担由此而产生的一切后果。</w:t>
      </w:r>
    </w:p>
    <w:p>
      <w:pPr>
        <w:snapToGrid w:val="0"/>
        <w:spacing w:before="0" w:after="0" w:line="360" w:lineRule="auto"/>
        <w:ind w:firstLine="420" w:firstLineChars="200"/>
        <w:jc w:val="left"/>
        <w:rPr>
          <w:rFonts w:ascii="Times New Roman" w:hAnsi="Times New Roman" w:cs="Times New Roman"/>
          <w:color w:val="000000"/>
          <w:szCs w:val="21"/>
          <w:highlight w:val="none"/>
          <w:shd w:val="clear" w:color="auto" w:fill="auto"/>
        </w:rPr>
      </w:pPr>
      <w:r>
        <w:rPr>
          <w:rFonts w:ascii="Times New Roman" w:hAnsi="Times New Roman" w:cs="Times New Roman"/>
          <w:color w:val="000000"/>
          <w:szCs w:val="21"/>
          <w:highlight w:val="none"/>
          <w:shd w:val="clear" w:color="auto" w:fill="auto"/>
        </w:rPr>
        <w:t>我公司承诺没有处于被责令停业，财产被接管、冻结及破产状态，最近三年内没有发生骗取中标、严重违约等不良行为。</w:t>
      </w:r>
    </w:p>
    <w:p>
      <w:pPr>
        <w:snapToGrid w:val="0"/>
        <w:spacing w:before="0" w:after="0" w:line="360" w:lineRule="auto"/>
        <w:jc w:val="left"/>
        <w:rPr>
          <w:rFonts w:ascii="Times New Roman" w:hAnsi="Times New Roman" w:cs="Times New Roman"/>
          <w:color w:val="000000"/>
          <w:szCs w:val="21"/>
          <w:highlight w:val="none"/>
          <w:shd w:val="clear" w:color="auto" w:fill="auto"/>
        </w:rPr>
      </w:pPr>
      <w:r>
        <w:rPr>
          <w:rFonts w:ascii="Times New Roman" w:hAnsi="Times New Roman" w:cs="Times New Roman"/>
          <w:color w:val="000000"/>
          <w:szCs w:val="21"/>
          <w:highlight w:val="none"/>
          <w:shd w:val="clear" w:color="auto" w:fill="auto"/>
        </w:rPr>
        <w:t>  特此声明！</w:t>
      </w:r>
    </w:p>
    <w:p>
      <w:pPr>
        <w:pStyle w:val="149"/>
        <w:spacing w:before="0" w:after="0" w:line="360" w:lineRule="auto"/>
        <w:jc w:val="left"/>
        <w:rPr>
          <w:rFonts w:ascii="Times New Roman" w:hAnsi="Times New Roman" w:eastAsiaTheme="minorEastAsia"/>
          <w:b/>
          <w:snapToGrid w:val="0"/>
          <w:color w:val="000000"/>
          <w:szCs w:val="21"/>
          <w:highlight w:val="none"/>
          <w:shd w:val="clear" w:color="auto" w:fill="auto"/>
          <w:lang w:eastAsia="zh-CN"/>
        </w:rPr>
      </w:pPr>
      <w:r>
        <w:rPr>
          <w:rFonts w:ascii="Times New Roman" w:hAnsi="Times New Roman" w:eastAsiaTheme="minorEastAsia"/>
          <w:szCs w:val="21"/>
          <w:highlight w:val="none"/>
          <w:shd w:val="clear" w:color="auto" w:fill="auto"/>
          <w:lang w:eastAsia="zh-CN"/>
        </w:rPr>
        <w:br w:type="page"/>
      </w:r>
    </w:p>
    <w:p>
      <w:pPr>
        <w:pStyle w:val="4"/>
        <w:rPr>
          <w:rFonts w:ascii="Times New Roman" w:hAnsi="Times New Roman" w:eastAsia="黑体" w:cs="Times New Roman"/>
          <w:sz w:val="32"/>
          <w:highlight w:val="none"/>
          <w:shd w:val="clear" w:color="auto" w:fill="auto"/>
        </w:rPr>
      </w:pPr>
      <w:bookmarkStart w:id="563" w:name="_Toc417894637"/>
      <w:bookmarkStart w:id="564" w:name="_Toc508805795"/>
      <w:bookmarkStart w:id="565" w:name="_Toc474741581"/>
      <w:bookmarkStart w:id="566" w:name="_Toc417894676"/>
      <w:bookmarkStart w:id="567" w:name="_Toc455756345"/>
      <w:bookmarkStart w:id="568" w:name="_Toc453597560"/>
      <w:r>
        <w:rPr>
          <w:rFonts w:ascii="Times New Roman" w:hAnsi="Times New Roman" w:eastAsia="黑体" w:cs="Times New Roman"/>
          <w:sz w:val="32"/>
          <w:highlight w:val="none"/>
          <w:shd w:val="clear" w:color="auto" w:fill="auto"/>
        </w:rPr>
        <w:t>6.制造商授权书</w:t>
      </w:r>
      <w:bookmarkEnd w:id="563"/>
      <w:bookmarkEnd w:id="564"/>
      <w:bookmarkEnd w:id="565"/>
      <w:bookmarkEnd w:id="566"/>
    </w:p>
    <w:p>
      <w:pPr>
        <w:spacing w:before="0" w:after="0" w:line="440" w:lineRule="exact"/>
        <w:ind w:left="420" w:leftChars="200"/>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制造商授权书（如有）</w:t>
      </w:r>
    </w:p>
    <w:p>
      <w:pPr>
        <w:spacing w:line="540" w:lineRule="exact"/>
        <w:ind w:left="1120" w:hanging="1120" w:hangingChars="400"/>
        <w:jc w:val="center"/>
        <w:rPr>
          <w:rFonts w:ascii="Times New Roman" w:hAnsi="Times New Roman" w:eastAsia="经典粗黑简" w:cs="Times New Roman"/>
          <w:sz w:val="28"/>
          <w:szCs w:val="28"/>
          <w:highlight w:val="none"/>
          <w:shd w:val="clear" w:color="auto" w:fill="auto"/>
        </w:rPr>
      </w:pPr>
    </w:p>
    <w:p>
      <w:pPr>
        <w:spacing w:line="440" w:lineRule="exact"/>
        <w:ind w:left="840" w:hanging="84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致：（招标人）</w:t>
      </w:r>
    </w:p>
    <w:p>
      <w:pPr>
        <w:spacing w:line="440" w:lineRule="exact"/>
        <w:ind w:firstLine="420"/>
        <w:jc w:val="left"/>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我单位</w:t>
      </w:r>
      <w:r>
        <w:rPr>
          <w:rFonts w:ascii="Times New Roman" w:hAnsi="Times New Roman" w:cs="Times New Roman"/>
          <w:highlight w:val="none"/>
          <w:u w:val="single"/>
          <w:shd w:val="clear" w:color="auto" w:fill="auto"/>
        </w:rPr>
        <w:t xml:space="preserve">         </w:t>
      </w:r>
      <w:r>
        <w:rPr>
          <w:rFonts w:ascii="Times New Roman" w:hAnsi="Times New Roman" w:cs="Times New Roman"/>
          <w:highlight w:val="none"/>
          <w:shd w:val="clear" w:color="auto" w:fill="auto"/>
        </w:rPr>
        <w:t>（制造商名称）是按</w:t>
      </w:r>
      <w:r>
        <w:rPr>
          <w:rFonts w:ascii="Times New Roman" w:hAnsi="Times New Roman" w:cs="Times New Roman"/>
          <w:highlight w:val="none"/>
          <w:u w:val="single"/>
          <w:shd w:val="clear" w:color="auto" w:fill="auto"/>
        </w:rPr>
        <w:t xml:space="preserve">        </w:t>
      </w:r>
      <w:r>
        <w:rPr>
          <w:rFonts w:ascii="Times New Roman" w:hAnsi="Times New Roman" w:cs="Times New Roman"/>
          <w:highlight w:val="none"/>
          <w:shd w:val="clear" w:color="auto" w:fill="auto"/>
        </w:rPr>
        <w:t>（国家／地区名称）法律成立的一家制造商，主要营业地点设在</w:t>
      </w:r>
      <w:r>
        <w:rPr>
          <w:rFonts w:ascii="Times New Roman" w:hAnsi="Times New Roman" w:cs="Times New Roman"/>
          <w:highlight w:val="none"/>
          <w:u w:val="single"/>
          <w:shd w:val="clear" w:color="auto" w:fill="auto"/>
        </w:rPr>
        <w:t xml:space="preserve">         </w:t>
      </w:r>
      <w:r>
        <w:rPr>
          <w:rFonts w:ascii="Times New Roman" w:hAnsi="Times New Roman" w:cs="Times New Roman"/>
          <w:highlight w:val="none"/>
          <w:shd w:val="clear" w:color="auto" w:fill="auto"/>
        </w:rPr>
        <w:t>（制造商地址）。兹授权按</w:t>
      </w:r>
      <w:r>
        <w:rPr>
          <w:rFonts w:ascii="Times New Roman" w:hAnsi="Times New Roman" w:cs="Times New Roman"/>
          <w:highlight w:val="none"/>
          <w:u w:val="single"/>
          <w:shd w:val="clear" w:color="auto" w:fill="auto"/>
        </w:rPr>
        <w:t xml:space="preserve">          </w:t>
      </w:r>
      <w:r>
        <w:rPr>
          <w:rFonts w:ascii="Times New Roman" w:hAnsi="Times New Roman" w:cs="Times New Roman"/>
          <w:highlight w:val="none"/>
          <w:shd w:val="clear" w:color="auto" w:fill="auto"/>
        </w:rPr>
        <w:t>（国家／地区名称）的法律正式成立的，主要营业地点设在</w:t>
      </w:r>
      <w:r>
        <w:rPr>
          <w:rFonts w:ascii="Times New Roman" w:hAnsi="Times New Roman" w:cs="Times New Roman"/>
          <w:highlight w:val="none"/>
          <w:u w:val="single"/>
          <w:shd w:val="clear" w:color="auto" w:fill="auto"/>
        </w:rPr>
        <w:t xml:space="preserve">       </w:t>
      </w:r>
      <w:r>
        <w:rPr>
          <w:rFonts w:ascii="Times New Roman" w:hAnsi="Times New Roman" w:cs="Times New Roman"/>
          <w:highlight w:val="none"/>
          <w:shd w:val="clear" w:color="auto" w:fill="auto"/>
        </w:rPr>
        <w:t>（投标人的单位地址）的（投标人名称）以我单位制造的</w:t>
      </w:r>
      <w:r>
        <w:rPr>
          <w:rFonts w:ascii="Times New Roman" w:hAnsi="Times New Roman" w:cs="Times New Roman"/>
          <w:highlight w:val="none"/>
          <w:u w:val="single"/>
          <w:shd w:val="clear" w:color="auto" w:fill="auto"/>
        </w:rPr>
        <w:t xml:space="preserve">         </w:t>
      </w:r>
      <w:r>
        <w:rPr>
          <w:rFonts w:ascii="Times New Roman" w:hAnsi="Times New Roman" w:cs="Times New Roman"/>
          <w:highlight w:val="none"/>
          <w:shd w:val="clear" w:color="auto" w:fill="auto"/>
        </w:rPr>
        <w:t>（货物名称）进行</w:t>
      </w:r>
      <w:r>
        <w:rPr>
          <w:rFonts w:ascii="Times New Roman" w:hAnsi="Times New Roman" w:cs="Times New Roman"/>
          <w:highlight w:val="none"/>
          <w:u w:val="single"/>
          <w:shd w:val="clear" w:color="auto" w:fill="auto"/>
        </w:rPr>
        <w:t xml:space="preserve">        </w:t>
      </w:r>
      <w:r>
        <w:rPr>
          <w:rFonts w:ascii="Times New Roman" w:hAnsi="Times New Roman" w:cs="Times New Roman"/>
          <w:highlight w:val="none"/>
          <w:shd w:val="clear" w:color="auto" w:fill="auto"/>
        </w:rPr>
        <w:t>（项目名称）投标活动。我单位同意按照中标合同供货，并对产品质量承担责任。</w:t>
      </w:r>
    </w:p>
    <w:p>
      <w:pPr>
        <w:spacing w:line="440" w:lineRule="exact"/>
        <w:ind w:firstLine="42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 xml:space="preserve">授权期限： </w:t>
      </w:r>
    </w:p>
    <w:p>
      <w:pPr>
        <w:spacing w:line="440" w:lineRule="exact"/>
        <w:rPr>
          <w:rFonts w:ascii="Times New Roman" w:hAnsi="Times New Roman" w:cs="Times New Roman"/>
          <w:highlight w:val="none"/>
          <w:shd w:val="clear" w:color="auto" w:fill="auto"/>
        </w:rPr>
      </w:pPr>
    </w:p>
    <w:p>
      <w:pPr>
        <w:spacing w:line="440" w:lineRule="exact"/>
        <w:rPr>
          <w:rFonts w:ascii="Times New Roman" w:hAnsi="Times New Roman" w:cs="Times New Roman"/>
          <w:highlight w:val="none"/>
          <w:shd w:val="clear" w:color="auto" w:fill="auto"/>
        </w:rPr>
      </w:pPr>
    </w:p>
    <w:p>
      <w:pPr>
        <w:spacing w:line="440" w:lineRule="exact"/>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投标人名称：（盖单位章）                             制造商名称：（盖单位章）</w:t>
      </w:r>
    </w:p>
    <w:p>
      <w:pPr>
        <w:adjustRightInd w:val="0"/>
        <w:snapToGrid w:val="0"/>
        <w:spacing w:line="360" w:lineRule="auto"/>
        <w:rPr>
          <w:rFonts w:ascii="Times New Roman" w:hAnsi="Times New Roman" w:cs="Times New Roman"/>
          <w:snapToGrid w:val="0"/>
          <w:color w:val="000000"/>
          <w:kern w:val="0"/>
          <w:szCs w:val="21"/>
          <w:highlight w:val="none"/>
          <w:shd w:val="clear" w:color="auto" w:fill="auto"/>
        </w:rPr>
      </w:pPr>
      <w:r>
        <w:rPr>
          <w:rFonts w:ascii="Times New Roman" w:hAnsi="Times New Roman" w:cs="Times New Roman"/>
          <w:snapToGrid w:val="0"/>
          <w:color w:val="000000"/>
          <w:kern w:val="0"/>
          <w:szCs w:val="21"/>
          <w:highlight w:val="none"/>
          <w:shd w:val="clear" w:color="auto" w:fill="auto"/>
        </w:rPr>
        <w:t>附制造商营业执照</w:t>
      </w:r>
    </w:p>
    <w:p>
      <w:pPr>
        <w:spacing w:line="440" w:lineRule="exact"/>
        <w:rPr>
          <w:rFonts w:ascii="Times New Roman" w:hAnsi="Times New Roman" w:cs="Times New Roman"/>
          <w:highlight w:val="none"/>
          <w:shd w:val="clear" w:color="auto" w:fill="auto"/>
        </w:rPr>
      </w:pPr>
    </w:p>
    <w:p>
      <w:pPr>
        <w:adjustRightInd w:val="0"/>
        <w:snapToGrid w:val="0"/>
        <w:spacing w:line="360" w:lineRule="auto"/>
        <w:ind w:firstLine="422" w:firstLineChars="200"/>
        <w:rPr>
          <w:rFonts w:ascii="Times New Roman" w:hAnsi="Times New Roman" w:cs="Times New Roman"/>
          <w:b/>
          <w:snapToGrid w:val="0"/>
          <w:color w:val="000000"/>
          <w:kern w:val="0"/>
          <w:szCs w:val="21"/>
          <w:highlight w:val="none"/>
          <w:shd w:val="clear" w:color="auto" w:fill="auto"/>
        </w:rPr>
      </w:pPr>
    </w:p>
    <w:p>
      <w:pPr>
        <w:adjustRightInd w:val="0"/>
        <w:snapToGrid w:val="0"/>
        <w:spacing w:line="360" w:lineRule="auto"/>
        <w:ind w:firstLine="422" w:firstLineChars="200"/>
        <w:rPr>
          <w:rFonts w:ascii="Times New Roman" w:hAnsi="Times New Roman" w:cs="Times New Roman"/>
          <w:b/>
          <w:snapToGrid w:val="0"/>
          <w:color w:val="000000"/>
          <w:kern w:val="0"/>
          <w:szCs w:val="21"/>
          <w:highlight w:val="none"/>
          <w:shd w:val="clear" w:color="auto" w:fill="auto"/>
        </w:rPr>
      </w:pPr>
    </w:p>
    <w:p>
      <w:pPr>
        <w:adjustRightInd w:val="0"/>
        <w:snapToGrid w:val="0"/>
        <w:spacing w:line="360" w:lineRule="auto"/>
        <w:ind w:firstLine="422" w:firstLineChars="200"/>
        <w:rPr>
          <w:rFonts w:ascii="Times New Roman" w:hAnsi="Times New Roman" w:cs="Times New Roman"/>
          <w:b/>
          <w:snapToGrid w:val="0"/>
          <w:color w:val="000000"/>
          <w:kern w:val="0"/>
          <w:szCs w:val="21"/>
          <w:highlight w:val="none"/>
          <w:shd w:val="clear" w:color="auto" w:fill="auto"/>
        </w:rPr>
      </w:pPr>
    </w:p>
    <w:bookmarkEnd w:id="567"/>
    <w:bookmarkEnd w:id="568"/>
    <w:p>
      <w:pPr>
        <w:adjustRightInd w:val="0"/>
        <w:snapToGrid w:val="0"/>
        <w:spacing w:line="360" w:lineRule="auto"/>
        <w:ind w:firstLine="420" w:firstLineChars="200"/>
        <w:rPr>
          <w:rFonts w:ascii="Times New Roman" w:hAnsi="Times New Roman" w:cs="Times New Roman"/>
          <w:snapToGrid w:val="0"/>
          <w:color w:val="000000"/>
          <w:kern w:val="0"/>
          <w:szCs w:val="21"/>
          <w:highlight w:val="none"/>
          <w:shd w:val="clear" w:color="auto" w:fill="auto"/>
        </w:rPr>
      </w:pPr>
    </w:p>
    <w:p>
      <w:pPr>
        <w:widowControl/>
        <w:spacing w:line="360" w:lineRule="auto"/>
        <w:jc w:val="left"/>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br w:type="page"/>
      </w:r>
      <w:bookmarkStart w:id="569" w:name="_Toc532285523"/>
      <w:bookmarkStart w:id="570" w:name="_Toc455756347"/>
      <w:bookmarkStart w:id="571" w:name="_Toc453597562"/>
    </w:p>
    <w:p>
      <w:pPr>
        <w:pStyle w:val="4"/>
        <w:rPr>
          <w:rFonts w:ascii="Times New Roman" w:hAnsi="Times New Roman" w:eastAsia="黑体" w:cs="Times New Roman"/>
          <w:sz w:val="32"/>
          <w:highlight w:val="none"/>
          <w:shd w:val="clear" w:color="auto" w:fill="auto"/>
        </w:rPr>
      </w:pPr>
      <w:r>
        <w:rPr>
          <w:rFonts w:hint="eastAsia" w:ascii="Times New Roman" w:hAnsi="Times New Roman" w:eastAsia="黑体" w:cs="Times New Roman"/>
          <w:sz w:val="32"/>
          <w:highlight w:val="none"/>
          <w:shd w:val="clear" w:color="auto" w:fill="auto"/>
        </w:rPr>
        <w:t>7</w:t>
      </w:r>
      <w:r>
        <w:rPr>
          <w:rFonts w:ascii="Times New Roman" w:hAnsi="Times New Roman" w:eastAsia="黑体" w:cs="Times New Roman"/>
          <w:sz w:val="32"/>
          <w:highlight w:val="none"/>
          <w:shd w:val="clear" w:color="auto" w:fill="auto"/>
        </w:rPr>
        <w:t>.</w:t>
      </w:r>
      <w:r>
        <w:rPr>
          <w:rFonts w:hint="eastAsia" w:ascii="Times New Roman" w:hAnsi="Times New Roman" w:eastAsia="黑体" w:cs="Times New Roman"/>
          <w:sz w:val="32"/>
          <w:highlight w:val="none"/>
          <w:shd w:val="clear" w:color="auto" w:fill="auto"/>
        </w:rPr>
        <w:t>投标报价</w:t>
      </w:r>
    </w:p>
    <w:p>
      <w:pPr>
        <w:adjustRightInd w:val="0"/>
        <w:snapToGrid w:val="0"/>
        <w:spacing w:before="0" w:afterLines="50" w:line="360" w:lineRule="auto"/>
        <w:ind w:firstLine="281" w:firstLineChars="100"/>
        <w:outlineLvl w:val="3"/>
        <w:rPr>
          <w:rFonts w:eastAsia="黑体"/>
          <w:b/>
          <w:sz w:val="28"/>
          <w:szCs w:val="28"/>
          <w:highlight w:val="none"/>
          <w:shd w:val="clear" w:color="auto" w:fill="auto"/>
        </w:rPr>
      </w:pPr>
      <w:r>
        <w:rPr>
          <w:rFonts w:hint="eastAsia" w:ascii="Times New Roman" w:hAnsi="Times New Roman" w:eastAsia="黑体" w:cs="Times New Roman"/>
          <w:b/>
          <w:sz w:val="28"/>
          <w:szCs w:val="28"/>
          <w:highlight w:val="none"/>
          <w:shd w:val="clear" w:color="auto" w:fill="auto"/>
        </w:rPr>
        <w:t>7</w:t>
      </w:r>
      <w:r>
        <w:rPr>
          <w:rFonts w:ascii="Times New Roman" w:hAnsi="Times New Roman" w:eastAsia="黑体" w:cs="Times New Roman"/>
          <w:b/>
          <w:sz w:val="28"/>
          <w:szCs w:val="28"/>
          <w:highlight w:val="none"/>
          <w:shd w:val="clear" w:color="auto" w:fill="auto"/>
        </w:rPr>
        <w:t>.1</w:t>
      </w:r>
      <w:r>
        <w:rPr>
          <w:rFonts w:eastAsia="黑体"/>
          <w:b/>
          <w:sz w:val="28"/>
          <w:szCs w:val="28"/>
          <w:highlight w:val="none"/>
          <w:shd w:val="clear" w:color="auto" w:fill="auto"/>
        </w:rPr>
        <w:t>报价说明</w:t>
      </w:r>
    </w:p>
    <w:p>
      <w:pPr>
        <w:adjustRightInd w:val="0"/>
        <w:snapToGrid w:val="0"/>
        <w:spacing w:before="0" w:afterLines="50" w:line="360" w:lineRule="auto"/>
        <w:ind w:firstLine="361" w:firstLineChars="150"/>
        <w:outlineLvl w:val="3"/>
        <w:rPr>
          <w:rFonts w:ascii="Times New Roman" w:hAnsi="Times New Roman" w:cs="Times New Roman"/>
          <w:kern w:val="0"/>
          <w:szCs w:val="21"/>
          <w:highlight w:val="none"/>
          <w:shd w:val="clear" w:color="auto" w:fill="auto"/>
        </w:rPr>
      </w:pPr>
      <w:r>
        <w:rPr>
          <w:rFonts w:hint="eastAsia" w:ascii="Times New Roman" w:hAnsi="Times New Roman" w:eastAsia="黑体" w:cs="Times New Roman"/>
          <w:b/>
          <w:snapToGrid w:val="0"/>
          <w:color w:val="000000"/>
          <w:kern w:val="0"/>
          <w:sz w:val="24"/>
          <w:szCs w:val="24"/>
          <w:highlight w:val="none"/>
          <w:shd w:val="clear" w:color="auto" w:fill="auto"/>
        </w:rPr>
        <w:t>7.1.1</w:t>
      </w:r>
      <w:r>
        <w:rPr>
          <w:rFonts w:ascii="Times New Roman" w:hAnsi="Times New Roman" w:cs="Times New Roman"/>
          <w:kern w:val="0"/>
          <w:szCs w:val="21"/>
          <w:highlight w:val="none"/>
          <w:shd w:val="clear" w:color="auto" w:fill="auto"/>
        </w:rPr>
        <w:t>投标人应按照本招标文件确定的工作范围和要求进行报价。投标价格是指招标文件中说明的全部工作内容的报酬。如有任何折扣声明，投标人也须在投标文件中注明。</w:t>
      </w:r>
    </w:p>
    <w:p>
      <w:pPr>
        <w:adjustRightInd w:val="0"/>
        <w:snapToGrid w:val="0"/>
        <w:spacing w:before="0" w:afterLines="50" w:line="360" w:lineRule="auto"/>
        <w:ind w:firstLine="361" w:firstLineChars="150"/>
        <w:outlineLvl w:val="3"/>
        <w:rPr>
          <w:rFonts w:ascii="Times New Roman" w:hAnsi="Times New Roman" w:cs="Times New Roman"/>
          <w:kern w:val="0"/>
          <w:szCs w:val="21"/>
          <w:highlight w:val="none"/>
          <w:shd w:val="clear" w:color="auto" w:fill="auto"/>
        </w:rPr>
      </w:pPr>
      <w:r>
        <w:rPr>
          <w:rFonts w:hint="eastAsia" w:ascii="Times New Roman" w:hAnsi="Times New Roman" w:eastAsia="黑体" w:cs="Times New Roman"/>
          <w:b/>
          <w:snapToGrid w:val="0"/>
          <w:color w:val="000000"/>
          <w:kern w:val="0"/>
          <w:sz w:val="24"/>
          <w:szCs w:val="24"/>
          <w:highlight w:val="none"/>
          <w:shd w:val="clear" w:color="auto" w:fill="auto"/>
        </w:rPr>
        <w:t>7.1.2</w:t>
      </w:r>
      <w:r>
        <w:rPr>
          <w:rFonts w:ascii="Times New Roman" w:hAnsi="Times New Roman" w:cs="Times New Roman"/>
          <w:kern w:val="0"/>
          <w:szCs w:val="21"/>
          <w:highlight w:val="none"/>
          <w:shd w:val="clear" w:color="auto" w:fill="auto"/>
        </w:rPr>
        <w:t>投标报价已包含投标人的人员工资、福利费、工会经费、教育经费、养老保险、住房公积金、办公费、差旅费、通讯费、交通费、加班费、医疗费、现场补贴、公司管理费、现场必备的检测设备和交通工具合理的购置及使用费用以及住宿费、电话费、利润、自身人员人身及财产保险、税金及其他为完成本工程服务所需的全部费用。</w:t>
      </w:r>
    </w:p>
    <w:p>
      <w:pPr>
        <w:adjustRightInd w:val="0"/>
        <w:snapToGrid w:val="0"/>
        <w:spacing w:before="0" w:afterLines="50" w:line="360" w:lineRule="auto"/>
        <w:ind w:firstLine="281" w:firstLineChars="100"/>
        <w:outlineLvl w:val="3"/>
        <w:rPr>
          <w:highlight w:val="none"/>
          <w:shd w:val="clear" w:color="auto" w:fill="auto"/>
        </w:rPr>
      </w:pPr>
      <w:r>
        <w:rPr>
          <w:rFonts w:hint="eastAsia" w:ascii="Times New Roman" w:hAnsi="Times New Roman" w:eastAsia="黑体" w:cs="Times New Roman"/>
          <w:b/>
          <w:sz w:val="28"/>
          <w:szCs w:val="28"/>
          <w:highlight w:val="none"/>
          <w:shd w:val="clear" w:color="auto" w:fill="auto"/>
        </w:rPr>
        <w:t>7</w:t>
      </w:r>
      <w:r>
        <w:rPr>
          <w:rFonts w:ascii="Times New Roman" w:hAnsi="Times New Roman" w:eastAsia="黑体" w:cs="Times New Roman"/>
          <w:b/>
          <w:sz w:val="28"/>
          <w:szCs w:val="28"/>
          <w:highlight w:val="none"/>
          <w:shd w:val="clear" w:color="auto" w:fill="auto"/>
        </w:rPr>
        <w:t>.2</w:t>
      </w:r>
      <w:r>
        <w:rPr>
          <w:rFonts w:hint="eastAsia" w:ascii="Times New Roman" w:hAnsi="Times New Roman" w:eastAsia="黑体" w:cs="Times New Roman"/>
          <w:b/>
          <w:sz w:val="28"/>
          <w:szCs w:val="28"/>
          <w:highlight w:val="none"/>
          <w:shd w:val="clear" w:color="auto" w:fill="auto"/>
        </w:rPr>
        <w:t>投标报价表</w:t>
      </w:r>
    </w:p>
    <w:p>
      <w:pPr>
        <w:widowControl/>
        <w:autoSpaceDE w:val="0"/>
        <w:autoSpaceDN w:val="0"/>
        <w:adjustRightInd w:val="0"/>
        <w:spacing w:before="0" w:after="0" w:line="480" w:lineRule="auto"/>
        <w:ind w:right="-481"/>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b/>
          <w:snapToGrid w:val="0"/>
          <w:color w:val="000000"/>
          <w:kern w:val="0"/>
          <w:szCs w:val="21"/>
          <w:highlight w:val="none"/>
          <w:shd w:val="clear" w:color="auto" w:fill="auto"/>
        </w:rPr>
        <w:t>报价一览表</w:t>
      </w:r>
    </w:p>
    <w:tbl>
      <w:tblPr>
        <w:tblStyle w:val="42"/>
        <w:tblW w:w="9397" w:type="dxa"/>
        <w:tblInd w:w="93" w:type="dxa"/>
        <w:tblLayout w:type="fixed"/>
        <w:tblCellMar>
          <w:top w:w="0" w:type="dxa"/>
          <w:left w:w="108" w:type="dxa"/>
          <w:bottom w:w="0" w:type="dxa"/>
          <w:right w:w="108" w:type="dxa"/>
        </w:tblCellMar>
      </w:tblPr>
      <w:tblGrid>
        <w:gridCol w:w="1080"/>
        <w:gridCol w:w="2621"/>
        <w:gridCol w:w="1276"/>
        <w:gridCol w:w="1134"/>
        <w:gridCol w:w="1275"/>
        <w:gridCol w:w="2011"/>
      </w:tblGrid>
      <w:tr>
        <w:tblPrEx>
          <w:tblCellMar>
            <w:top w:w="0" w:type="dxa"/>
            <w:left w:w="108" w:type="dxa"/>
            <w:bottom w:w="0" w:type="dxa"/>
            <w:right w:w="108" w:type="dxa"/>
          </w:tblCellMar>
        </w:tblPrEx>
        <w:trPr>
          <w:trHeight w:val="936" w:hRule="atLeast"/>
        </w:trPr>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序号</w:t>
            </w:r>
          </w:p>
        </w:tc>
        <w:tc>
          <w:tcPr>
            <w:tcW w:w="2621" w:type="dxa"/>
            <w:tcBorders>
              <w:top w:val="single" w:color="auto" w:sz="8" w:space="0"/>
              <w:left w:val="nil"/>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项目名称</w:t>
            </w:r>
          </w:p>
        </w:tc>
        <w:tc>
          <w:tcPr>
            <w:tcW w:w="1276" w:type="dxa"/>
            <w:tcBorders>
              <w:top w:val="single" w:color="auto" w:sz="8" w:space="0"/>
              <w:left w:val="nil"/>
              <w:bottom w:val="single" w:color="auto" w:sz="8" w:space="0"/>
              <w:right w:val="single" w:color="auto" w:sz="4"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单价（元，含税）</w:t>
            </w:r>
          </w:p>
        </w:tc>
        <w:tc>
          <w:tcPr>
            <w:tcW w:w="1134" w:type="dxa"/>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数量（台）</w:t>
            </w:r>
          </w:p>
        </w:tc>
        <w:tc>
          <w:tcPr>
            <w:tcW w:w="1275"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合计（元，含税）</w:t>
            </w:r>
          </w:p>
        </w:tc>
        <w:tc>
          <w:tcPr>
            <w:tcW w:w="2011" w:type="dxa"/>
            <w:tcBorders>
              <w:top w:val="single" w:color="auto" w:sz="8" w:space="0"/>
              <w:left w:val="single" w:color="auto" w:sz="4" w:space="0"/>
              <w:bottom w:val="single" w:color="auto" w:sz="8" w:space="0"/>
              <w:right w:val="single" w:color="auto" w:sz="8" w:space="0"/>
            </w:tcBorders>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备注</w:t>
            </w:r>
          </w:p>
        </w:tc>
      </w:tr>
      <w:tr>
        <w:tblPrEx>
          <w:tblCellMar>
            <w:top w:w="0" w:type="dxa"/>
            <w:left w:w="108" w:type="dxa"/>
            <w:bottom w:w="0" w:type="dxa"/>
            <w:right w:w="108" w:type="dxa"/>
          </w:tblCellMar>
        </w:tblPrEx>
        <w:trPr>
          <w:trHeight w:val="840" w:hRule="atLeast"/>
        </w:trPr>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ascii="Times New Roman" w:hAnsi="Times New Roman" w:cs="Times New Roman"/>
                <w:snapToGrid w:val="0"/>
                <w:color w:val="000000"/>
                <w:kern w:val="0"/>
                <w:szCs w:val="21"/>
                <w:highlight w:val="none"/>
                <w:shd w:val="clear" w:color="auto" w:fill="auto"/>
              </w:rPr>
              <w:t>1</w:t>
            </w:r>
          </w:p>
        </w:tc>
        <w:tc>
          <w:tcPr>
            <w:tcW w:w="2621" w:type="dxa"/>
            <w:vMerge w:val="restart"/>
            <w:tcBorders>
              <w:top w:val="single" w:color="auto" w:sz="8" w:space="0"/>
              <w:left w:val="nil"/>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国信金融中心项目酒店电视采购及安装项目</w:t>
            </w:r>
          </w:p>
        </w:tc>
        <w:tc>
          <w:tcPr>
            <w:tcW w:w="1276" w:type="dxa"/>
            <w:tcBorders>
              <w:top w:val="single" w:color="auto" w:sz="8" w:space="0"/>
              <w:left w:val="nil"/>
              <w:bottom w:val="single" w:color="auto" w:sz="8" w:space="0"/>
              <w:right w:val="single" w:color="auto" w:sz="4"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134" w:type="dxa"/>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369</w:t>
            </w:r>
          </w:p>
        </w:tc>
        <w:tc>
          <w:tcPr>
            <w:tcW w:w="1275"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2011"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电视机、挂墙支架及安装</w:t>
            </w:r>
          </w:p>
        </w:tc>
      </w:tr>
      <w:tr>
        <w:tblPrEx>
          <w:tblCellMar>
            <w:top w:w="0" w:type="dxa"/>
            <w:left w:w="108" w:type="dxa"/>
            <w:bottom w:w="0" w:type="dxa"/>
            <w:right w:w="108" w:type="dxa"/>
          </w:tblCellMar>
        </w:tblPrEx>
        <w:trPr>
          <w:trHeight w:val="824" w:hRule="atLeast"/>
        </w:trPr>
        <w:tc>
          <w:tcPr>
            <w:tcW w:w="108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2</w:t>
            </w:r>
          </w:p>
        </w:tc>
        <w:tc>
          <w:tcPr>
            <w:tcW w:w="2621" w:type="dxa"/>
            <w:vMerge w:val="continue"/>
            <w:tcBorders>
              <w:left w:val="nil"/>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276" w:type="dxa"/>
            <w:tcBorders>
              <w:top w:val="single" w:color="auto" w:sz="8" w:space="0"/>
              <w:left w:val="nil"/>
              <w:bottom w:val="single" w:color="auto" w:sz="8" w:space="0"/>
              <w:right w:val="single" w:color="auto" w:sz="4"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134" w:type="dxa"/>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35</w:t>
            </w:r>
          </w:p>
        </w:tc>
        <w:tc>
          <w:tcPr>
            <w:tcW w:w="1275"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2011"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电视机、落地支架及安装</w:t>
            </w:r>
          </w:p>
        </w:tc>
      </w:tr>
      <w:tr>
        <w:tblPrEx>
          <w:tblCellMar>
            <w:top w:w="0" w:type="dxa"/>
            <w:left w:w="108" w:type="dxa"/>
            <w:bottom w:w="0" w:type="dxa"/>
            <w:right w:w="108" w:type="dxa"/>
          </w:tblCellMar>
        </w:tblPrEx>
        <w:trPr>
          <w:trHeight w:val="842" w:hRule="atLeast"/>
        </w:trPr>
        <w:tc>
          <w:tcPr>
            <w:tcW w:w="1080" w:type="dxa"/>
            <w:tcBorders>
              <w:top w:val="single" w:color="auto" w:sz="8" w:space="0"/>
              <w:left w:val="single" w:color="auto" w:sz="8" w:space="0"/>
              <w:bottom w:val="single" w:color="auto" w:sz="4"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3</w:t>
            </w:r>
          </w:p>
        </w:tc>
        <w:tc>
          <w:tcPr>
            <w:tcW w:w="2621" w:type="dxa"/>
            <w:tcBorders>
              <w:top w:val="single" w:color="auto" w:sz="8" w:space="0"/>
              <w:left w:val="nil"/>
              <w:bottom w:val="single" w:color="auto" w:sz="4"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投标总价（元，含税）</w:t>
            </w:r>
          </w:p>
        </w:tc>
        <w:tc>
          <w:tcPr>
            <w:tcW w:w="1276" w:type="dxa"/>
            <w:tcBorders>
              <w:top w:val="single" w:color="auto" w:sz="8" w:space="0"/>
              <w:left w:val="nil"/>
              <w:bottom w:val="single" w:color="auto" w:sz="4"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w:t>
            </w:r>
          </w:p>
        </w:tc>
        <w:tc>
          <w:tcPr>
            <w:tcW w:w="1134" w:type="dxa"/>
            <w:tcBorders>
              <w:top w:val="single" w:color="auto" w:sz="8" w:space="0"/>
              <w:left w:val="nil"/>
              <w:bottom w:val="single" w:color="auto" w:sz="4"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404</w:t>
            </w:r>
          </w:p>
        </w:tc>
        <w:tc>
          <w:tcPr>
            <w:tcW w:w="1275" w:type="dxa"/>
            <w:tcBorders>
              <w:top w:val="single" w:color="auto" w:sz="8" w:space="0"/>
              <w:left w:val="nil"/>
              <w:bottom w:val="single" w:color="auto" w:sz="4" w:space="0"/>
              <w:right w:val="single" w:color="auto" w:sz="8" w:space="0"/>
            </w:tcBorders>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2011" w:type="dxa"/>
            <w:tcBorders>
              <w:top w:val="single" w:color="auto" w:sz="8" w:space="0"/>
              <w:left w:val="nil"/>
              <w:bottom w:val="single" w:color="auto" w:sz="4" w:space="0"/>
              <w:right w:val="single" w:color="auto" w:sz="8" w:space="0"/>
            </w:tcBorders>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CellMar>
            <w:top w:w="0" w:type="dxa"/>
            <w:left w:w="108" w:type="dxa"/>
            <w:bottom w:w="0" w:type="dxa"/>
            <w:right w:w="108" w:type="dxa"/>
          </w:tblCellMar>
        </w:tblPrEx>
        <w:trPr>
          <w:trHeight w:val="842" w:hRule="atLeast"/>
        </w:trPr>
        <w:tc>
          <w:tcPr>
            <w:tcW w:w="1080" w:type="dxa"/>
            <w:tcBorders>
              <w:top w:val="single" w:color="auto" w:sz="8" w:space="0"/>
              <w:left w:val="single" w:color="auto" w:sz="8" w:space="0"/>
              <w:bottom w:val="single" w:color="auto" w:sz="4"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4</w:t>
            </w:r>
          </w:p>
        </w:tc>
        <w:tc>
          <w:tcPr>
            <w:tcW w:w="2621" w:type="dxa"/>
            <w:tcBorders>
              <w:top w:val="single" w:color="auto" w:sz="8" w:space="0"/>
              <w:left w:val="nil"/>
              <w:bottom w:val="single" w:color="auto" w:sz="4"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质保期</w:t>
            </w:r>
          </w:p>
        </w:tc>
        <w:tc>
          <w:tcPr>
            <w:tcW w:w="3685" w:type="dxa"/>
            <w:gridSpan w:val="3"/>
            <w:tcBorders>
              <w:top w:val="single" w:color="auto" w:sz="8" w:space="0"/>
              <w:left w:val="nil"/>
              <w:bottom w:val="single" w:color="auto" w:sz="4" w:space="0"/>
              <w:right w:val="single" w:color="auto" w:sz="8" w:space="0"/>
            </w:tcBorders>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2011" w:type="dxa"/>
            <w:tcBorders>
              <w:top w:val="single" w:color="auto" w:sz="8" w:space="0"/>
              <w:left w:val="nil"/>
              <w:bottom w:val="single" w:color="auto" w:sz="4" w:space="0"/>
              <w:right w:val="single" w:color="auto" w:sz="8" w:space="0"/>
            </w:tcBorders>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CellMar>
            <w:top w:w="0" w:type="dxa"/>
            <w:left w:w="108" w:type="dxa"/>
            <w:bottom w:w="0" w:type="dxa"/>
            <w:right w:w="108" w:type="dxa"/>
          </w:tblCellMar>
        </w:tblPrEx>
        <w:trPr>
          <w:trHeight w:val="842" w:hRule="atLeast"/>
        </w:trPr>
        <w:tc>
          <w:tcPr>
            <w:tcW w:w="1080" w:type="dxa"/>
            <w:tcBorders>
              <w:top w:val="single" w:color="auto" w:sz="8" w:space="0"/>
              <w:left w:val="single" w:color="auto" w:sz="8" w:space="0"/>
              <w:bottom w:val="single" w:color="auto" w:sz="4"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5</w:t>
            </w:r>
          </w:p>
        </w:tc>
        <w:tc>
          <w:tcPr>
            <w:tcW w:w="2621" w:type="dxa"/>
            <w:tcBorders>
              <w:top w:val="single" w:color="auto" w:sz="8" w:space="0"/>
              <w:left w:val="nil"/>
              <w:bottom w:val="single" w:color="auto" w:sz="4" w:space="0"/>
              <w:right w:val="single" w:color="auto" w:sz="8"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其他</w:t>
            </w:r>
          </w:p>
        </w:tc>
        <w:tc>
          <w:tcPr>
            <w:tcW w:w="3685" w:type="dxa"/>
            <w:gridSpan w:val="3"/>
            <w:tcBorders>
              <w:top w:val="single" w:color="auto" w:sz="8" w:space="0"/>
              <w:left w:val="nil"/>
              <w:bottom w:val="single" w:color="auto" w:sz="4" w:space="0"/>
              <w:right w:val="single" w:color="auto" w:sz="8" w:space="0"/>
            </w:tcBorders>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2011" w:type="dxa"/>
            <w:tcBorders>
              <w:top w:val="single" w:color="auto" w:sz="8" w:space="0"/>
              <w:left w:val="nil"/>
              <w:bottom w:val="single" w:color="auto" w:sz="4" w:space="0"/>
              <w:right w:val="single" w:color="auto" w:sz="8" w:space="0"/>
            </w:tcBorders>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CellMar>
            <w:top w:w="0" w:type="dxa"/>
            <w:left w:w="108" w:type="dxa"/>
            <w:bottom w:w="0" w:type="dxa"/>
            <w:right w:w="108" w:type="dxa"/>
          </w:tblCellMar>
        </w:tblPrEx>
        <w:trPr>
          <w:trHeight w:val="1722" w:hRule="atLeast"/>
        </w:trPr>
        <w:tc>
          <w:tcPr>
            <w:tcW w:w="370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备注</w:t>
            </w:r>
          </w:p>
        </w:tc>
        <w:tc>
          <w:tcPr>
            <w:tcW w:w="3685" w:type="dxa"/>
            <w:gridSpan w:val="3"/>
            <w:tcBorders>
              <w:top w:val="single" w:color="auto" w:sz="4" w:space="0"/>
              <w:left w:val="single" w:color="auto" w:sz="4" w:space="0"/>
              <w:bottom w:val="single" w:color="auto" w:sz="4" w:space="0"/>
              <w:right w:val="single" w:color="auto" w:sz="4" w:space="0"/>
            </w:tcBorders>
            <w:vAlign w:val="center"/>
          </w:tcPr>
          <w:p>
            <w:pPr>
              <w:spacing w:before="0" w:after="0" w:line="360" w:lineRule="auto"/>
              <w:rPr>
                <w:rFonts w:ascii="Times New Roman" w:hAnsi="Times New Roman" w:cs="Times New Roman"/>
                <w:snapToGrid w:val="0"/>
                <w:color w:val="000000"/>
                <w:kern w:val="0"/>
                <w:szCs w:val="21"/>
                <w:highlight w:val="none"/>
                <w:shd w:val="clear" w:color="auto" w:fill="auto"/>
              </w:rPr>
            </w:pPr>
            <w:r>
              <w:rPr>
                <w:rFonts w:ascii="宋体" w:hAnsi="宋体" w:eastAsia="宋体" w:cs="宋体"/>
                <w:kern w:val="0"/>
                <w:szCs w:val="21"/>
                <w:highlight w:val="none"/>
                <w:shd w:val="clear" w:color="auto" w:fill="auto"/>
              </w:rPr>
              <w:t>我方为</w:t>
            </w:r>
            <w:r>
              <w:rPr>
                <w:rFonts w:ascii="宋体" w:hAnsi="宋体" w:eastAsia="宋体" w:cs="宋体"/>
                <w:kern w:val="0"/>
                <w:szCs w:val="21"/>
                <w:highlight w:val="none"/>
                <w:u w:val="single"/>
                <w:shd w:val="clear" w:color="auto" w:fill="auto"/>
              </w:rPr>
              <w:t>          </w:t>
            </w:r>
            <w:r>
              <w:rPr>
                <w:rFonts w:ascii="宋体" w:hAnsi="宋体" w:eastAsia="宋体" w:cs="宋体"/>
                <w:kern w:val="0"/>
                <w:szCs w:val="21"/>
                <w:highlight w:val="none"/>
                <w:shd w:val="clear" w:color="auto" w:fill="auto"/>
              </w:rPr>
              <w:t>（一般纳税人、小规模纳税人），税率为_____</w:t>
            </w:r>
            <w:r>
              <w:rPr>
                <w:rFonts w:hint="eastAsia" w:ascii="宋体" w:hAnsi="宋体" w:eastAsia="宋体" w:cs="宋体"/>
                <w:kern w:val="0"/>
                <w:szCs w:val="21"/>
                <w:highlight w:val="none"/>
                <w:shd w:val="clear" w:color="auto" w:fill="auto"/>
              </w:rPr>
              <w:t>%</w:t>
            </w:r>
            <w:r>
              <w:rPr>
                <w:rFonts w:ascii="宋体" w:hAnsi="宋体" w:eastAsia="宋体" w:cs="宋体"/>
                <w:kern w:val="0"/>
                <w:szCs w:val="21"/>
                <w:highlight w:val="none"/>
                <w:shd w:val="clear" w:color="auto" w:fill="auto"/>
              </w:rPr>
              <w:t>，税金为￥_____元</w:t>
            </w:r>
            <w:r>
              <w:rPr>
                <w:rFonts w:hint="eastAsia" w:ascii="宋体" w:hAnsi="宋体" w:eastAsia="宋体" w:cs="宋体"/>
                <w:kern w:val="0"/>
                <w:szCs w:val="21"/>
                <w:highlight w:val="none"/>
                <w:shd w:val="clear" w:color="auto" w:fill="auto"/>
              </w:rPr>
              <w:t>，</w:t>
            </w:r>
            <w:r>
              <w:rPr>
                <w:rFonts w:ascii="宋体" w:hAnsi="宋体" w:eastAsia="宋体" w:cs="宋体"/>
                <w:kern w:val="0"/>
                <w:szCs w:val="21"/>
                <w:highlight w:val="none"/>
                <w:shd w:val="clear" w:color="auto" w:fill="auto"/>
              </w:rPr>
              <w:t>可开具增值税专用发票。</w:t>
            </w:r>
          </w:p>
        </w:tc>
        <w:tc>
          <w:tcPr>
            <w:tcW w:w="2011" w:type="dxa"/>
            <w:tcBorders>
              <w:top w:val="single" w:color="auto" w:sz="4" w:space="0"/>
              <w:left w:val="single" w:color="auto" w:sz="4" w:space="0"/>
              <w:bottom w:val="single" w:color="auto" w:sz="4" w:space="0"/>
              <w:right w:val="single" w:color="auto" w:sz="4" w:space="0"/>
            </w:tcBorders>
          </w:tcPr>
          <w:p>
            <w:pPr>
              <w:spacing w:before="0" w:after="0" w:line="360" w:lineRule="auto"/>
              <w:rPr>
                <w:rFonts w:ascii="宋体" w:hAnsi="宋体" w:eastAsia="宋体" w:cs="宋体"/>
                <w:kern w:val="0"/>
                <w:szCs w:val="21"/>
                <w:highlight w:val="none"/>
                <w:shd w:val="clear" w:color="auto" w:fill="auto"/>
              </w:rPr>
            </w:pPr>
          </w:p>
        </w:tc>
      </w:tr>
    </w:tbl>
    <w:p>
      <w:pPr>
        <w:spacing w:before="0" w:after="0" w:line="360" w:lineRule="auto"/>
        <w:rPr>
          <w:rFonts w:ascii="Times New Roman" w:hAnsi="Times New Roman" w:cs="Times New Roman"/>
          <w:snapToGrid w:val="0"/>
          <w:color w:val="000000"/>
          <w:kern w:val="0"/>
          <w:szCs w:val="21"/>
          <w:highlight w:val="none"/>
          <w:shd w:val="clear" w:color="auto" w:fill="auto"/>
        </w:rPr>
      </w:pPr>
    </w:p>
    <w:p>
      <w:pPr>
        <w:spacing w:before="0" w:after="0" w:line="360" w:lineRule="auto"/>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投标人名称（盖公章）：</w:t>
      </w:r>
    </w:p>
    <w:p>
      <w:pPr>
        <w:spacing w:before="0" w:after="0" w:line="360" w:lineRule="auto"/>
        <w:rPr>
          <w:rFonts w:ascii="Times New Roman" w:hAnsi="Times New Roman" w:cs="Times New Roman"/>
          <w:snapToGrid w:val="0"/>
          <w:color w:val="000000"/>
          <w:kern w:val="0"/>
          <w:szCs w:val="21"/>
          <w:highlight w:val="none"/>
          <w:shd w:val="clear" w:color="auto" w:fill="auto"/>
        </w:rPr>
      </w:pPr>
    </w:p>
    <w:p>
      <w:pPr>
        <w:spacing w:before="0" w:after="0" w:line="360" w:lineRule="auto"/>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投标人法定代表人或者被授权代表：（签字）</w:t>
      </w:r>
    </w:p>
    <w:p>
      <w:pPr>
        <w:autoSpaceDE w:val="0"/>
        <w:autoSpaceDN w:val="0"/>
        <w:adjustRightInd w:val="0"/>
        <w:spacing w:before="0" w:after="0" w:line="360" w:lineRule="auto"/>
        <w:rPr>
          <w:rFonts w:ascii="仿宋" w:hAnsi="仿宋" w:eastAsia="仿宋" w:cs="宋体"/>
          <w:sz w:val="28"/>
          <w:szCs w:val="20"/>
          <w:highlight w:val="none"/>
          <w:shd w:val="clear" w:color="auto" w:fill="auto"/>
          <w:lang w:val="zh-CN"/>
        </w:rPr>
      </w:pPr>
      <w:r>
        <w:rPr>
          <w:rFonts w:hint="eastAsia" w:ascii="Times New Roman" w:hAnsi="Times New Roman" w:cs="Times New Roman"/>
          <w:snapToGrid w:val="0"/>
          <w:color w:val="000000"/>
          <w:kern w:val="0"/>
          <w:szCs w:val="21"/>
          <w:highlight w:val="none"/>
          <w:shd w:val="clear" w:color="auto" w:fill="auto"/>
        </w:rPr>
        <w:t>时间：</w:t>
      </w:r>
      <w:r>
        <w:rPr>
          <w:rFonts w:ascii="Times New Roman" w:hAnsi="Times New Roman" w:cs="Times New Roman"/>
          <w:snapToGrid w:val="0"/>
          <w:color w:val="000000"/>
          <w:kern w:val="0"/>
          <w:szCs w:val="21"/>
          <w:highlight w:val="none"/>
          <w:shd w:val="clear" w:color="auto" w:fill="auto"/>
        </w:rPr>
        <w:t xml:space="preserve">        </w:t>
      </w:r>
      <w:r>
        <w:rPr>
          <w:rFonts w:hint="eastAsia" w:ascii="Times New Roman" w:hAnsi="Times New Roman" w:cs="Times New Roman"/>
          <w:snapToGrid w:val="0"/>
          <w:color w:val="000000"/>
          <w:kern w:val="0"/>
          <w:szCs w:val="21"/>
          <w:highlight w:val="none"/>
          <w:shd w:val="clear" w:color="auto" w:fill="auto"/>
        </w:rPr>
        <w:t>年</w:t>
      </w:r>
      <w:r>
        <w:rPr>
          <w:rFonts w:ascii="Times New Roman" w:hAnsi="Times New Roman" w:cs="Times New Roman"/>
          <w:snapToGrid w:val="0"/>
          <w:color w:val="000000"/>
          <w:kern w:val="0"/>
          <w:szCs w:val="21"/>
          <w:highlight w:val="none"/>
          <w:shd w:val="clear" w:color="auto" w:fill="auto"/>
        </w:rPr>
        <w:t xml:space="preserve">      </w:t>
      </w:r>
      <w:r>
        <w:rPr>
          <w:rFonts w:hint="eastAsia" w:ascii="Times New Roman" w:hAnsi="Times New Roman" w:cs="Times New Roman"/>
          <w:snapToGrid w:val="0"/>
          <w:color w:val="000000"/>
          <w:kern w:val="0"/>
          <w:szCs w:val="21"/>
          <w:highlight w:val="none"/>
          <w:shd w:val="clear" w:color="auto" w:fill="auto"/>
        </w:rPr>
        <w:t>月</w:t>
      </w:r>
      <w:r>
        <w:rPr>
          <w:rFonts w:ascii="Times New Roman" w:hAnsi="Times New Roman" w:cs="Times New Roman"/>
          <w:snapToGrid w:val="0"/>
          <w:color w:val="000000"/>
          <w:kern w:val="0"/>
          <w:szCs w:val="21"/>
          <w:highlight w:val="none"/>
          <w:shd w:val="clear" w:color="auto" w:fill="auto"/>
        </w:rPr>
        <w:t xml:space="preserve">   </w:t>
      </w:r>
      <w:r>
        <w:rPr>
          <w:rFonts w:hint="eastAsia" w:ascii="Times New Roman" w:hAnsi="Times New Roman" w:cs="Times New Roman"/>
          <w:snapToGrid w:val="0"/>
          <w:color w:val="000000"/>
          <w:kern w:val="0"/>
          <w:szCs w:val="21"/>
          <w:highlight w:val="none"/>
          <w:shd w:val="clear" w:color="auto" w:fill="auto"/>
        </w:rPr>
        <w:t>日</w:t>
      </w:r>
      <w:r>
        <w:rPr>
          <w:rFonts w:ascii="仿宋" w:hAnsi="仿宋" w:eastAsia="仿宋" w:cs="仿宋"/>
          <w:sz w:val="28"/>
          <w:szCs w:val="21"/>
          <w:highlight w:val="none"/>
          <w:shd w:val="clear" w:color="auto" w:fill="auto"/>
          <w:lang w:val="zh-CN"/>
        </w:rPr>
        <w:br w:type="page"/>
      </w:r>
    </w:p>
    <w:p>
      <w:pPr>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b/>
          <w:snapToGrid w:val="0"/>
          <w:color w:val="000000"/>
          <w:kern w:val="0"/>
          <w:szCs w:val="21"/>
          <w:highlight w:val="none"/>
          <w:shd w:val="clear" w:color="auto" w:fill="auto"/>
        </w:rPr>
        <w:t>分项报价明细表</w:t>
      </w:r>
    </w:p>
    <w:tbl>
      <w:tblPr>
        <w:tblStyle w:val="42"/>
        <w:tblW w:w="9814"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7"/>
        <w:gridCol w:w="573"/>
        <w:gridCol w:w="1269"/>
        <w:gridCol w:w="424"/>
        <w:gridCol w:w="1139"/>
        <w:gridCol w:w="1001"/>
        <w:gridCol w:w="996"/>
        <w:gridCol w:w="1139"/>
        <w:gridCol w:w="284"/>
        <w:gridCol w:w="712"/>
        <w:gridCol w:w="1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3" w:hRule="atLeast"/>
        </w:trPr>
        <w:tc>
          <w:tcPr>
            <w:tcW w:w="427" w:type="dxa"/>
            <w:vAlign w:val="center"/>
          </w:tcPr>
          <w:p>
            <w:pPr>
              <w:tabs>
                <w:tab w:val="left" w:pos="1418"/>
              </w:tabs>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序号</w:t>
            </w:r>
          </w:p>
        </w:tc>
        <w:tc>
          <w:tcPr>
            <w:tcW w:w="2266" w:type="dxa"/>
            <w:gridSpan w:val="3"/>
            <w:vAlign w:val="center"/>
          </w:tcPr>
          <w:p>
            <w:pPr>
              <w:tabs>
                <w:tab w:val="left" w:pos="1418"/>
              </w:tabs>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货物名称</w:t>
            </w:r>
          </w:p>
        </w:tc>
        <w:tc>
          <w:tcPr>
            <w:tcW w:w="1139" w:type="dxa"/>
            <w:vAlign w:val="center"/>
          </w:tcPr>
          <w:p>
            <w:pPr>
              <w:tabs>
                <w:tab w:val="left" w:pos="1418"/>
              </w:tabs>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品牌</w:t>
            </w:r>
          </w:p>
        </w:tc>
        <w:tc>
          <w:tcPr>
            <w:tcW w:w="1001" w:type="dxa"/>
            <w:vAlign w:val="center"/>
          </w:tcPr>
          <w:p>
            <w:pPr>
              <w:tabs>
                <w:tab w:val="left" w:pos="1418"/>
              </w:tabs>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规格型号</w:t>
            </w:r>
          </w:p>
        </w:tc>
        <w:tc>
          <w:tcPr>
            <w:tcW w:w="2135" w:type="dxa"/>
            <w:gridSpan w:val="2"/>
            <w:vAlign w:val="center"/>
          </w:tcPr>
          <w:p>
            <w:pPr>
              <w:tabs>
                <w:tab w:val="left" w:pos="1418"/>
              </w:tabs>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尺寸（长*宽*厚）</w:t>
            </w:r>
          </w:p>
        </w:tc>
        <w:tc>
          <w:tcPr>
            <w:tcW w:w="996" w:type="dxa"/>
            <w:gridSpan w:val="2"/>
            <w:vAlign w:val="center"/>
          </w:tcPr>
          <w:p>
            <w:pPr>
              <w:tabs>
                <w:tab w:val="left" w:pos="1418"/>
              </w:tabs>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数量及单位</w:t>
            </w:r>
          </w:p>
        </w:tc>
        <w:tc>
          <w:tcPr>
            <w:tcW w:w="1850" w:type="dxa"/>
            <w:vAlign w:val="center"/>
          </w:tcPr>
          <w:p>
            <w:pPr>
              <w:tabs>
                <w:tab w:val="left" w:pos="1418"/>
              </w:tabs>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单</w:t>
            </w:r>
            <w:r>
              <w:rPr>
                <w:rFonts w:ascii="Times New Roman" w:hAnsi="Times New Roman" w:cs="Times New Roman"/>
                <w:snapToGrid w:val="0"/>
                <w:color w:val="000000"/>
                <w:kern w:val="0"/>
                <w:szCs w:val="21"/>
                <w:highlight w:val="none"/>
                <w:shd w:val="clear" w:color="auto" w:fill="auto"/>
              </w:rPr>
              <w:t xml:space="preserve"> </w:t>
            </w:r>
            <w:r>
              <w:rPr>
                <w:rFonts w:hint="eastAsia" w:ascii="Times New Roman" w:hAnsi="Times New Roman" w:cs="Times New Roman"/>
                <w:snapToGrid w:val="0"/>
                <w:color w:val="000000"/>
                <w:kern w:val="0"/>
                <w:szCs w:val="21"/>
                <w:highlight w:val="none"/>
                <w:shd w:val="clear" w:color="auto" w:fill="auto"/>
              </w:rPr>
              <w:t>价（元）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6" w:hRule="atLeast"/>
        </w:trPr>
        <w:tc>
          <w:tcPr>
            <w:tcW w:w="427"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ascii="Times New Roman" w:hAnsi="Times New Roman" w:cs="Times New Roman"/>
                <w:snapToGrid w:val="0"/>
                <w:color w:val="000000"/>
                <w:kern w:val="0"/>
                <w:szCs w:val="21"/>
                <w:highlight w:val="none"/>
                <w:shd w:val="clear" w:color="auto" w:fill="auto"/>
              </w:rPr>
              <w:t>1</w:t>
            </w:r>
          </w:p>
        </w:tc>
        <w:tc>
          <w:tcPr>
            <w:tcW w:w="2266" w:type="dxa"/>
            <w:gridSpan w:val="3"/>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139"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001"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2135"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850"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3" w:hRule="atLeast"/>
        </w:trPr>
        <w:tc>
          <w:tcPr>
            <w:tcW w:w="427"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ascii="Times New Roman" w:hAnsi="Times New Roman" w:cs="Times New Roman"/>
                <w:snapToGrid w:val="0"/>
                <w:color w:val="000000"/>
                <w:kern w:val="0"/>
                <w:szCs w:val="21"/>
                <w:highlight w:val="none"/>
                <w:shd w:val="clear" w:color="auto" w:fill="auto"/>
              </w:rPr>
              <w:t>2</w:t>
            </w:r>
          </w:p>
        </w:tc>
        <w:tc>
          <w:tcPr>
            <w:tcW w:w="2266" w:type="dxa"/>
            <w:gridSpan w:val="3"/>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139"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001"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2135"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850"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427"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ascii="Times New Roman" w:hAnsi="Times New Roman" w:cs="Times New Roman"/>
                <w:snapToGrid w:val="0"/>
                <w:color w:val="000000"/>
                <w:kern w:val="0"/>
                <w:szCs w:val="21"/>
                <w:highlight w:val="none"/>
                <w:shd w:val="clear" w:color="auto" w:fill="auto"/>
              </w:rPr>
              <w:t>3</w:t>
            </w:r>
          </w:p>
        </w:tc>
        <w:tc>
          <w:tcPr>
            <w:tcW w:w="2266" w:type="dxa"/>
            <w:gridSpan w:val="3"/>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139"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001"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2135"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850"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693" w:type="dxa"/>
            <w:gridSpan w:val="4"/>
            <w:vAlign w:val="center"/>
          </w:tcPr>
          <w:p>
            <w:pPr>
              <w:spacing w:before="0" w:after="0" w:line="360" w:lineRule="auto"/>
              <w:rPr>
                <w:rFonts w:ascii="Times New Roman" w:hAnsi="Times New Roman" w:cs="Times New Roman"/>
                <w:snapToGrid w:val="0"/>
                <w:color w:val="000000"/>
                <w:kern w:val="0"/>
                <w:szCs w:val="21"/>
                <w:highlight w:val="none"/>
                <w:shd w:val="clear" w:color="auto" w:fill="auto"/>
              </w:rPr>
            </w:pPr>
          </w:p>
        </w:tc>
        <w:tc>
          <w:tcPr>
            <w:tcW w:w="1139"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001"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2135"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850" w:type="dxa"/>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693" w:type="dxa"/>
            <w:gridSpan w:val="4"/>
            <w:vAlign w:val="center"/>
          </w:tcPr>
          <w:p>
            <w:pPr>
              <w:spacing w:before="0" w:after="0" w:line="360" w:lineRule="auto"/>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货物费小计</w:t>
            </w:r>
          </w:p>
        </w:tc>
        <w:tc>
          <w:tcPr>
            <w:tcW w:w="7121" w:type="dxa"/>
            <w:gridSpan w:val="7"/>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大写：</w:t>
            </w:r>
          </w:p>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小写：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restart"/>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包装运输费</w:t>
            </w: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包装费</w:t>
            </w:r>
          </w:p>
        </w:tc>
        <w:tc>
          <w:tcPr>
            <w:tcW w:w="2564" w:type="dxa"/>
            <w:gridSpan w:val="3"/>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vMerge w:val="restart"/>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安装调试费</w:t>
            </w: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安装费</w:t>
            </w:r>
          </w:p>
        </w:tc>
        <w:tc>
          <w:tcPr>
            <w:tcW w:w="2562"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运输费</w:t>
            </w:r>
          </w:p>
        </w:tc>
        <w:tc>
          <w:tcPr>
            <w:tcW w:w="2564" w:type="dxa"/>
            <w:gridSpan w:val="3"/>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vMerge w:val="continue"/>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调试费</w:t>
            </w:r>
          </w:p>
        </w:tc>
        <w:tc>
          <w:tcPr>
            <w:tcW w:w="2562"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装卸费</w:t>
            </w:r>
          </w:p>
        </w:tc>
        <w:tc>
          <w:tcPr>
            <w:tcW w:w="2564" w:type="dxa"/>
            <w:gridSpan w:val="3"/>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vMerge w:val="continue"/>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w:t>
            </w:r>
          </w:p>
        </w:tc>
        <w:tc>
          <w:tcPr>
            <w:tcW w:w="2562"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保险费</w:t>
            </w:r>
          </w:p>
        </w:tc>
        <w:tc>
          <w:tcPr>
            <w:tcW w:w="2564" w:type="dxa"/>
            <w:gridSpan w:val="3"/>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vMerge w:val="continue"/>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小计</w:t>
            </w:r>
          </w:p>
        </w:tc>
        <w:tc>
          <w:tcPr>
            <w:tcW w:w="2562"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w:t>
            </w:r>
          </w:p>
        </w:tc>
        <w:tc>
          <w:tcPr>
            <w:tcW w:w="2564" w:type="dxa"/>
            <w:gridSpan w:val="3"/>
            <w:vAlign w:val="center"/>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vMerge w:val="restart"/>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售后服务费</w:t>
            </w: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培训费</w:t>
            </w:r>
          </w:p>
        </w:tc>
        <w:tc>
          <w:tcPr>
            <w:tcW w:w="2562"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小计</w:t>
            </w:r>
          </w:p>
        </w:tc>
        <w:tc>
          <w:tcPr>
            <w:tcW w:w="2564" w:type="dxa"/>
            <w:gridSpan w:val="3"/>
            <w:vAlign w:val="center"/>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vMerge w:val="continue"/>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技术服务费</w:t>
            </w:r>
          </w:p>
        </w:tc>
        <w:tc>
          <w:tcPr>
            <w:tcW w:w="2562"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restart"/>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税费及其他费用</w:t>
            </w: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税费</w:t>
            </w:r>
          </w:p>
        </w:tc>
        <w:tc>
          <w:tcPr>
            <w:tcW w:w="2564" w:type="dxa"/>
            <w:gridSpan w:val="3"/>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996" w:type="dxa"/>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w:t>
            </w:r>
          </w:p>
        </w:tc>
        <w:tc>
          <w:tcPr>
            <w:tcW w:w="2562"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w:t>
            </w:r>
          </w:p>
        </w:tc>
        <w:tc>
          <w:tcPr>
            <w:tcW w:w="2564" w:type="dxa"/>
            <w:gridSpan w:val="3"/>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996" w:type="dxa"/>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w:t>
            </w:r>
          </w:p>
        </w:tc>
        <w:tc>
          <w:tcPr>
            <w:tcW w:w="2562"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1000" w:type="dxa"/>
            <w:gridSpan w:val="2"/>
            <w:vMerge w:val="continue"/>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p>
        </w:tc>
        <w:tc>
          <w:tcPr>
            <w:tcW w:w="1269" w:type="dxa"/>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小计</w:t>
            </w:r>
          </w:p>
        </w:tc>
        <w:tc>
          <w:tcPr>
            <w:tcW w:w="2564" w:type="dxa"/>
            <w:gridSpan w:val="3"/>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996" w:type="dxa"/>
            <w:vMerge w:val="continue"/>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c>
          <w:tcPr>
            <w:tcW w:w="1423" w:type="dxa"/>
            <w:gridSpan w:val="2"/>
            <w:vAlign w:val="center"/>
          </w:tcPr>
          <w:p>
            <w:pPr>
              <w:autoSpaceDE w:val="0"/>
              <w:autoSpaceDN w:val="0"/>
              <w:adjustRightInd w:val="0"/>
              <w:spacing w:before="0" w:after="0" w:line="360" w:lineRule="auto"/>
              <w:jc w:val="center"/>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小计</w:t>
            </w:r>
          </w:p>
        </w:tc>
        <w:tc>
          <w:tcPr>
            <w:tcW w:w="2562" w:type="dxa"/>
            <w:gridSpan w:val="2"/>
          </w:tcPr>
          <w:p>
            <w:pPr>
              <w:autoSpaceDE w:val="0"/>
              <w:autoSpaceDN w:val="0"/>
              <w:adjustRightInd w:val="0"/>
              <w:spacing w:before="0" w:after="0" w:line="360" w:lineRule="auto"/>
              <w:rPr>
                <w:rFonts w:ascii="Times New Roman" w:hAnsi="Times New Roman" w:cs="Times New Roman"/>
                <w:snapToGrid w:val="0"/>
                <w:color w:val="000000"/>
                <w:kern w:val="0"/>
                <w:szCs w:val="21"/>
                <w:highlight w:val="none"/>
                <w:shd w:val="clear" w:color="auto" w:fill="auto"/>
              </w:rPr>
            </w:pPr>
          </w:p>
        </w:tc>
      </w:tr>
    </w:tbl>
    <w:p>
      <w:pPr>
        <w:spacing w:before="0" w:after="0" w:line="360" w:lineRule="auto"/>
        <w:rPr>
          <w:rFonts w:ascii="Times New Roman" w:hAnsi="Times New Roman" w:cs="Times New Roman"/>
          <w:snapToGrid w:val="0"/>
          <w:color w:val="000000"/>
          <w:kern w:val="0"/>
          <w:szCs w:val="21"/>
          <w:highlight w:val="none"/>
          <w:shd w:val="clear" w:color="auto" w:fill="auto"/>
        </w:rPr>
      </w:pPr>
    </w:p>
    <w:p>
      <w:pPr>
        <w:spacing w:before="0" w:after="0" w:line="360" w:lineRule="auto"/>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投标人名称（盖公章）：</w:t>
      </w:r>
    </w:p>
    <w:p>
      <w:pPr>
        <w:spacing w:before="0" w:after="0" w:line="360" w:lineRule="auto"/>
        <w:rPr>
          <w:rFonts w:ascii="Times New Roman" w:hAnsi="Times New Roman" w:cs="Times New Roman"/>
          <w:snapToGrid w:val="0"/>
          <w:color w:val="000000"/>
          <w:kern w:val="0"/>
          <w:szCs w:val="21"/>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投标人法定代表人或者被授权代表（签字）：</w:t>
      </w:r>
    </w:p>
    <w:p>
      <w:pPr>
        <w:spacing w:before="0" w:after="0" w:line="420" w:lineRule="exact"/>
        <w:rPr>
          <w:rFonts w:ascii="Times New Roman" w:hAnsi="Times New Roman" w:eastAsia="黑体" w:cs="Times New Roman"/>
          <w:b/>
          <w:bCs/>
          <w:sz w:val="32"/>
          <w:szCs w:val="32"/>
          <w:highlight w:val="none"/>
          <w:shd w:val="clear" w:color="auto" w:fill="auto"/>
        </w:rPr>
      </w:pPr>
      <w:r>
        <w:rPr>
          <w:rFonts w:hint="eastAsia" w:ascii="Times New Roman" w:hAnsi="Times New Roman" w:cs="Times New Roman"/>
          <w:snapToGrid w:val="0"/>
          <w:color w:val="000000"/>
          <w:kern w:val="0"/>
          <w:szCs w:val="21"/>
          <w:highlight w:val="none"/>
          <w:shd w:val="clear" w:color="auto" w:fill="auto"/>
        </w:rPr>
        <w:t>时间：</w:t>
      </w:r>
      <w:r>
        <w:rPr>
          <w:rFonts w:ascii="Times New Roman" w:hAnsi="Times New Roman" w:cs="Times New Roman"/>
          <w:snapToGrid w:val="0"/>
          <w:color w:val="000000"/>
          <w:kern w:val="0"/>
          <w:szCs w:val="21"/>
          <w:highlight w:val="none"/>
          <w:shd w:val="clear" w:color="auto" w:fill="auto"/>
        </w:rPr>
        <w:t xml:space="preserve">     </w:t>
      </w:r>
      <w:r>
        <w:rPr>
          <w:rFonts w:hint="eastAsia" w:ascii="Times New Roman" w:hAnsi="Times New Roman" w:cs="Times New Roman"/>
          <w:snapToGrid w:val="0"/>
          <w:color w:val="000000"/>
          <w:kern w:val="0"/>
          <w:szCs w:val="21"/>
          <w:highlight w:val="none"/>
          <w:shd w:val="clear" w:color="auto" w:fill="auto"/>
        </w:rPr>
        <w:t>年</w:t>
      </w:r>
      <w:r>
        <w:rPr>
          <w:rFonts w:ascii="Times New Roman" w:hAnsi="Times New Roman" w:cs="Times New Roman"/>
          <w:snapToGrid w:val="0"/>
          <w:color w:val="000000"/>
          <w:kern w:val="0"/>
          <w:szCs w:val="21"/>
          <w:highlight w:val="none"/>
          <w:shd w:val="clear" w:color="auto" w:fill="auto"/>
        </w:rPr>
        <w:t xml:space="preserve">      </w:t>
      </w:r>
      <w:r>
        <w:rPr>
          <w:rFonts w:hint="eastAsia" w:ascii="Times New Roman" w:hAnsi="Times New Roman" w:cs="Times New Roman"/>
          <w:snapToGrid w:val="0"/>
          <w:color w:val="000000"/>
          <w:kern w:val="0"/>
          <w:szCs w:val="21"/>
          <w:highlight w:val="none"/>
          <w:shd w:val="clear" w:color="auto" w:fill="auto"/>
        </w:rPr>
        <w:t>月</w:t>
      </w:r>
      <w:r>
        <w:rPr>
          <w:rFonts w:ascii="Times New Roman" w:hAnsi="Times New Roman" w:cs="Times New Roman"/>
          <w:snapToGrid w:val="0"/>
          <w:color w:val="000000"/>
          <w:kern w:val="0"/>
          <w:szCs w:val="21"/>
          <w:highlight w:val="none"/>
          <w:shd w:val="clear" w:color="auto" w:fill="auto"/>
        </w:rPr>
        <w:t xml:space="preserve">   </w:t>
      </w:r>
      <w:r>
        <w:rPr>
          <w:rFonts w:hint="eastAsia" w:ascii="Times New Roman" w:hAnsi="Times New Roman" w:cs="Times New Roman"/>
          <w:snapToGrid w:val="0"/>
          <w:color w:val="000000"/>
          <w:kern w:val="0"/>
          <w:szCs w:val="21"/>
          <w:highlight w:val="none"/>
          <w:shd w:val="clear" w:color="auto" w:fill="auto"/>
        </w:rPr>
        <w:t>日</w:t>
      </w:r>
      <w:r>
        <w:rPr>
          <w:rFonts w:ascii="Times New Roman" w:hAnsi="Times New Roman" w:eastAsia="黑体" w:cs="Times New Roman"/>
          <w:b/>
          <w:bCs/>
          <w:sz w:val="32"/>
          <w:szCs w:val="32"/>
          <w:highlight w:val="none"/>
          <w:shd w:val="clear" w:color="auto" w:fill="auto"/>
        </w:rPr>
        <w:br w:type="page"/>
      </w:r>
    </w:p>
    <w:p>
      <w:pPr>
        <w:pStyle w:val="4"/>
        <w:rPr>
          <w:rFonts w:ascii="Times New Roman" w:hAnsi="Times New Roman" w:eastAsia="黑体" w:cs="Times New Roman"/>
          <w:sz w:val="32"/>
          <w:highlight w:val="none"/>
          <w:shd w:val="clear" w:color="auto" w:fill="auto"/>
        </w:rPr>
      </w:pPr>
      <w:r>
        <w:rPr>
          <w:rFonts w:hint="eastAsia" w:ascii="Times New Roman" w:hAnsi="Times New Roman" w:eastAsia="黑体" w:cs="Times New Roman"/>
          <w:sz w:val="32"/>
          <w:highlight w:val="none"/>
          <w:shd w:val="clear" w:color="auto" w:fill="auto"/>
        </w:rPr>
        <w:t>8</w:t>
      </w:r>
      <w:r>
        <w:rPr>
          <w:rFonts w:ascii="Times New Roman" w:hAnsi="Times New Roman" w:eastAsia="黑体" w:cs="Times New Roman"/>
          <w:sz w:val="32"/>
          <w:highlight w:val="none"/>
          <w:shd w:val="clear" w:color="auto" w:fill="auto"/>
        </w:rPr>
        <w:t>.商务条款差异表</w:t>
      </w:r>
      <w:bookmarkEnd w:id="569"/>
      <w:bookmarkEnd w:id="570"/>
      <w:bookmarkEnd w:id="571"/>
    </w:p>
    <w:p>
      <w:pPr>
        <w:spacing w:before="0" w:after="0" w:line="440" w:lineRule="exact"/>
        <w:ind w:left="420" w:leftChars="200"/>
        <w:jc w:val="center"/>
        <w:rPr>
          <w:rFonts w:ascii="Times New Roman" w:hAnsi="Times New Roman" w:cs="Times New Roman"/>
          <w:b/>
          <w:szCs w:val="21"/>
          <w:highlight w:val="none"/>
          <w:shd w:val="clear" w:color="auto" w:fill="auto"/>
        </w:rPr>
      </w:pPr>
      <w:r>
        <w:rPr>
          <w:rFonts w:ascii="Times New Roman" w:hAnsi="Times New Roman" w:cs="Times New Roman"/>
          <w:b/>
          <w:highlight w:val="none"/>
          <w:shd w:val="clear" w:color="auto" w:fill="auto"/>
        </w:rPr>
        <w:t>商务条款差异表</w:t>
      </w:r>
    </w:p>
    <w:tbl>
      <w:tblPr>
        <w:tblStyle w:val="42"/>
        <w:tblW w:w="906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1"/>
        <w:gridCol w:w="942"/>
        <w:gridCol w:w="1787"/>
        <w:gridCol w:w="942"/>
        <w:gridCol w:w="1787"/>
        <w:gridCol w:w="26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序号</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招标文件</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投标文件</w:t>
            </w: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条目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简要内容</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条目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简要内容</w:t>
            </w: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1</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2</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3</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bl>
    <w:p>
      <w:pPr>
        <w:adjustRightInd w:val="0"/>
        <w:snapToGrid w:val="0"/>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我公司已将此次投标的所有差异列于上述表格，除上述表格中的内容再无其它差异。</w:t>
      </w:r>
    </w:p>
    <w:p>
      <w:pPr>
        <w:adjustRightInd w:val="0"/>
        <w:snapToGrid w:val="0"/>
        <w:spacing w:before="0" w:after="0" w:line="360" w:lineRule="auto"/>
        <w:ind w:firstLine="422" w:firstLineChars="200"/>
        <w:rPr>
          <w:rFonts w:ascii="Times New Roman" w:hAnsi="Times New Roman" w:cs="Times New Roman"/>
          <w:b/>
          <w:szCs w:val="21"/>
          <w:highlight w:val="none"/>
          <w:shd w:val="clear" w:color="auto" w:fill="auto"/>
        </w:rPr>
      </w:pPr>
      <w:r>
        <w:rPr>
          <w:rFonts w:ascii="Times New Roman" w:hAnsi="Times New Roman" w:cs="Times New Roman"/>
          <w:b/>
          <w:szCs w:val="21"/>
          <w:highlight w:val="none"/>
          <w:shd w:val="clear" w:color="auto" w:fill="auto"/>
        </w:rPr>
        <w:t>注：</w:t>
      </w:r>
    </w:p>
    <w:p>
      <w:pPr>
        <w:adjustRightInd w:val="0"/>
        <w:snapToGrid w:val="0"/>
        <w:spacing w:before="0" w:after="0" w:line="360" w:lineRule="auto"/>
        <w:ind w:firstLine="422" w:firstLineChars="200"/>
        <w:rPr>
          <w:rFonts w:ascii="Times New Roman" w:hAnsi="Times New Roman" w:cs="Times New Roman"/>
          <w:b/>
          <w:szCs w:val="21"/>
          <w:highlight w:val="none"/>
          <w:shd w:val="clear" w:color="auto" w:fill="auto"/>
          <w:lang w:val="zh-CN"/>
        </w:rPr>
      </w:pPr>
      <w:r>
        <w:rPr>
          <w:rFonts w:ascii="Times New Roman" w:hAnsi="Times New Roman" w:cs="Times New Roman"/>
          <w:b/>
          <w:szCs w:val="21"/>
          <w:highlight w:val="none"/>
          <w:shd w:val="clear" w:color="auto" w:fill="auto"/>
        </w:rPr>
        <w:t>1、投标方要将投标文件和招标文件的差异之处汇集成表。</w:t>
      </w:r>
      <w:r>
        <w:rPr>
          <w:rFonts w:ascii="Times New Roman" w:hAnsi="Times New Roman" w:cs="Times New Roman"/>
          <w:b/>
          <w:szCs w:val="21"/>
          <w:highlight w:val="none"/>
          <w:shd w:val="clear" w:color="auto" w:fill="auto"/>
          <w:lang w:val="zh-CN"/>
        </w:rPr>
        <w:t>投标文件对招标文件未提出异议的条款，均被视为接受和同意。投标文件与招标文件有差异之处，无论多么微小，均应按招标文件格式要求统一汇总说明。</w:t>
      </w:r>
    </w:p>
    <w:p>
      <w:pPr>
        <w:widowControl/>
        <w:spacing w:before="0" w:after="0" w:line="360" w:lineRule="auto"/>
        <w:rPr>
          <w:rFonts w:ascii="Times New Roman" w:hAnsi="Times New Roman" w:cs="Times New Roman"/>
          <w:highlight w:val="none"/>
          <w:shd w:val="clear" w:color="auto" w:fill="auto"/>
        </w:rPr>
      </w:pPr>
      <w:r>
        <w:rPr>
          <w:rFonts w:ascii="Times New Roman" w:hAnsi="Times New Roman" w:cs="Times New Roman"/>
          <w:b/>
          <w:szCs w:val="21"/>
          <w:highlight w:val="none"/>
          <w:shd w:val="clear" w:color="auto" w:fill="auto"/>
          <w:lang w:val="zh-CN"/>
        </w:rPr>
        <w:t xml:space="preserve">    2、对于投标人提出的上述差异，如存在重大偏离，导致招标人无法承受，则有可能导致其投标被否决。</w:t>
      </w:r>
    </w:p>
    <w:p>
      <w:pPr>
        <w:widowControl/>
        <w:rPr>
          <w:rFonts w:ascii="Times New Roman" w:hAnsi="Times New Roman" w:cs="Times New Roman"/>
          <w:b/>
          <w:sz w:val="30"/>
          <w:szCs w:val="21"/>
          <w:highlight w:val="none"/>
          <w:shd w:val="clear" w:color="auto" w:fill="auto"/>
        </w:rPr>
      </w:pPr>
      <w:r>
        <w:rPr>
          <w:rFonts w:ascii="Times New Roman" w:hAnsi="Times New Roman" w:cs="Times New Roman"/>
          <w:b/>
          <w:sz w:val="30"/>
          <w:szCs w:val="21"/>
          <w:highlight w:val="none"/>
          <w:shd w:val="clear" w:color="auto" w:fill="auto"/>
        </w:rPr>
        <w:br w:type="page"/>
      </w:r>
    </w:p>
    <w:p>
      <w:pPr>
        <w:pStyle w:val="4"/>
        <w:rPr>
          <w:rFonts w:ascii="Times New Roman" w:hAnsi="Times New Roman" w:eastAsia="黑体" w:cs="Times New Roman"/>
          <w:sz w:val="32"/>
          <w:highlight w:val="none"/>
          <w:shd w:val="clear" w:color="auto" w:fill="auto"/>
        </w:rPr>
      </w:pPr>
      <w:bookmarkStart w:id="572" w:name="_Toc532285525"/>
      <w:r>
        <w:rPr>
          <w:rFonts w:hint="eastAsia" w:ascii="Times New Roman" w:hAnsi="Times New Roman" w:eastAsia="黑体" w:cs="Times New Roman"/>
          <w:sz w:val="32"/>
          <w:highlight w:val="none"/>
          <w:shd w:val="clear" w:color="auto" w:fill="auto"/>
        </w:rPr>
        <w:t>9</w:t>
      </w:r>
      <w:r>
        <w:rPr>
          <w:rFonts w:ascii="Times New Roman" w:hAnsi="Times New Roman" w:eastAsia="黑体" w:cs="Times New Roman"/>
          <w:sz w:val="32"/>
          <w:highlight w:val="none"/>
          <w:shd w:val="clear" w:color="auto" w:fill="auto"/>
        </w:rPr>
        <w:t>.其他文件和资料</w:t>
      </w:r>
      <w:bookmarkEnd w:id="572"/>
    </w:p>
    <w:p>
      <w:pPr>
        <w:widowControl/>
        <w:spacing w:before="0" w:after="0" w:line="360" w:lineRule="auto"/>
        <w:ind w:firstLine="420" w:firstLineChars="200"/>
        <w:rPr>
          <w:rFonts w:ascii="Times New Roman" w:hAnsi="Times New Roman" w:cs="Times New Roman"/>
          <w:highlight w:val="none"/>
          <w:shd w:val="clear" w:color="auto" w:fill="auto"/>
        </w:rPr>
      </w:pPr>
      <w:r>
        <w:rPr>
          <w:rFonts w:ascii="Times New Roman" w:hAnsi="Times New Roman" w:cs="Times New Roman"/>
          <w:snapToGrid w:val="0"/>
          <w:color w:val="000000"/>
          <w:kern w:val="0"/>
          <w:szCs w:val="21"/>
          <w:highlight w:val="none"/>
          <w:shd w:val="clear" w:color="auto" w:fill="auto"/>
        </w:rPr>
        <w:t>投标人除提供招标文件要求提供的其它材料外，还应参照招标公告中投标人资格要求和评标办法评分条款，在此逐条提供相关说明材料（投标文件其他部分已提供的，此处不用重复提供）。</w:t>
      </w:r>
      <w:r>
        <w:rPr>
          <w:rFonts w:ascii="Times New Roman" w:hAnsi="Times New Roman" w:cs="Times New Roman"/>
          <w:sz w:val="32"/>
          <w:szCs w:val="32"/>
          <w:highlight w:val="none"/>
          <w:shd w:val="clear" w:color="auto" w:fill="auto"/>
        </w:rPr>
        <w:br w:type="page"/>
      </w:r>
    </w:p>
    <w:bookmarkEnd w:id="544"/>
    <w:bookmarkEnd w:id="558"/>
    <w:bookmarkEnd w:id="559"/>
    <w:p>
      <w:pPr>
        <w:pStyle w:val="15"/>
        <w:adjustRightInd w:val="0"/>
        <w:snapToGrid w:val="0"/>
        <w:spacing w:beforeLines="50"/>
        <w:ind w:firstLine="480" w:firstLineChars="200"/>
        <w:rPr>
          <w:rFonts w:ascii="Times New Roman" w:hAnsi="Times New Roman" w:eastAsia="仿宋_GB2312" w:cs="Times New Roman"/>
          <w:highlight w:val="none"/>
          <w:shd w:val="clear" w:color="auto" w:fill="auto"/>
        </w:rPr>
      </w:pPr>
    </w:p>
    <w:p>
      <w:pPr>
        <w:pStyle w:val="15"/>
        <w:adjustRightInd w:val="0"/>
        <w:snapToGrid w:val="0"/>
        <w:spacing w:beforeLines="50"/>
        <w:ind w:firstLine="964" w:firstLineChars="200"/>
        <w:jc w:val="center"/>
        <w:rPr>
          <w:rFonts w:ascii="Times New Roman" w:hAnsi="Times New Roman" w:cs="Times New Roman"/>
          <w:b/>
          <w:sz w:val="48"/>
          <w:highlight w:val="none"/>
          <w:u w:val="single"/>
          <w:shd w:val="clear" w:color="auto" w:fill="auto"/>
        </w:rPr>
      </w:pPr>
      <w:r>
        <w:rPr>
          <w:rFonts w:hint="eastAsia" w:ascii="Times New Roman" w:hAnsi="Times New Roman" w:cs="Times New Roman"/>
          <w:b/>
          <w:sz w:val="48"/>
          <w:highlight w:val="none"/>
          <w:u w:val="single"/>
          <w:shd w:val="clear" w:color="auto" w:fill="auto"/>
        </w:rPr>
        <w:t>青岛国信金融中心项目酒店电视采购安装</w:t>
      </w:r>
      <w:r>
        <w:rPr>
          <w:rFonts w:ascii="Times New Roman" w:hAnsi="Times New Roman" w:cs="Times New Roman"/>
          <w:b/>
          <w:sz w:val="48"/>
          <w:highlight w:val="none"/>
          <w:shd w:val="clear" w:color="auto" w:fill="auto"/>
        </w:rPr>
        <w:t>项目招标</w:t>
      </w:r>
    </w:p>
    <w:p>
      <w:pPr>
        <w:pStyle w:val="15"/>
        <w:adjustRightInd w:val="0"/>
        <w:snapToGrid w:val="0"/>
        <w:spacing w:beforeLines="50"/>
        <w:ind w:firstLine="964" w:firstLineChars="200"/>
        <w:jc w:val="center"/>
        <w:rPr>
          <w:rFonts w:ascii="Times New Roman" w:hAnsi="Times New Roman" w:cs="Times New Roman"/>
          <w:b/>
          <w:sz w:val="48"/>
          <w:highlight w:val="none"/>
          <w:u w:val="single"/>
          <w:shd w:val="clear" w:color="auto" w:fill="auto"/>
        </w:rPr>
      </w:pPr>
    </w:p>
    <w:p>
      <w:pPr>
        <w:pStyle w:val="15"/>
        <w:adjustRightInd w:val="0"/>
        <w:snapToGrid w:val="0"/>
        <w:spacing w:beforeLines="50"/>
        <w:ind w:firstLine="964" w:firstLineChars="200"/>
        <w:rPr>
          <w:rFonts w:ascii="Times New Roman" w:hAnsi="Times New Roman" w:cs="Times New Roman"/>
          <w:b/>
          <w:sz w:val="48"/>
          <w:highlight w:val="none"/>
          <w:u w:val="single"/>
          <w:shd w:val="clear" w:color="auto" w:fill="auto"/>
        </w:rPr>
      </w:pPr>
    </w:p>
    <w:p>
      <w:pPr>
        <w:pStyle w:val="15"/>
        <w:adjustRightInd w:val="0"/>
        <w:snapToGrid w:val="0"/>
        <w:spacing w:beforeLines="50"/>
        <w:ind w:left="119"/>
        <w:jc w:val="center"/>
        <w:rPr>
          <w:rFonts w:ascii="Times New Roman" w:hAnsi="Times New Roman" w:cs="Times New Roman"/>
          <w:sz w:val="72"/>
          <w:highlight w:val="none"/>
          <w:shd w:val="clear" w:color="auto" w:fill="auto"/>
        </w:rPr>
      </w:pPr>
    </w:p>
    <w:p>
      <w:pPr>
        <w:pStyle w:val="15"/>
        <w:adjustRightInd w:val="0"/>
        <w:snapToGrid w:val="0"/>
        <w:spacing w:beforeLines="50"/>
        <w:ind w:left="119"/>
        <w:jc w:val="center"/>
        <w:rPr>
          <w:rFonts w:ascii="Times New Roman" w:hAnsi="Times New Roman" w:cs="Times New Roman"/>
          <w:sz w:val="84"/>
          <w:szCs w:val="84"/>
          <w:highlight w:val="none"/>
          <w:shd w:val="clear" w:color="auto" w:fill="auto"/>
        </w:rPr>
      </w:pPr>
      <w:r>
        <w:rPr>
          <w:rFonts w:ascii="Times New Roman" w:hAnsi="Times New Roman" w:cs="Times New Roman"/>
          <w:sz w:val="84"/>
          <w:szCs w:val="84"/>
          <w:highlight w:val="none"/>
          <w:shd w:val="clear" w:color="auto" w:fill="auto"/>
        </w:rPr>
        <w:t>投 标 文 件</w:t>
      </w:r>
    </w:p>
    <w:p>
      <w:pPr>
        <w:pStyle w:val="15"/>
        <w:adjustRightInd w:val="0"/>
        <w:snapToGrid w:val="0"/>
        <w:spacing w:beforeLines="50"/>
        <w:ind w:left="119" w:firstLine="2431" w:firstLineChars="1013"/>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 xml:space="preserve">项目编号： </w:t>
      </w: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p>
    <w:p>
      <w:pPr>
        <w:pStyle w:val="15"/>
        <w:adjustRightInd w:val="0"/>
        <w:snapToGrid w:val="0"/>
        <w:spacing w:beforeLines="50"/>
        <w:ind w:left="119" w:firstLine="2160" w:firstLineChars="900"/>
        <w:rPr>
          <w:rFonts w:ascii="Times New Roman" w:hAnsi="Times New Roman" w:cs="Times New Roman"/>
          <w:highlight w:val="none"/>
          <w:shd w:val="clear" w:color="auto" w:fill="auto"/>
        </w:rPr>
      </w:pPr>
    </w:p>
    <w:p>
      <w:pPr>
        <w:pStyle w:val="15"/>
        <w:adjustRightInd w:val="0"/>
        <w:snapToGrid w:val="0"/>
        <w:spacing w:beforeLines="50"/>
        <w:rPr>
          <w:rFonts w:ascii="Times New Roman" w:hAnsi="Times New Roman" w:cs="Times New Roman"/>
          <w:highlight w:val="none"/>
          <w:shd w:val="clear" w:color="auto" w:fill="auto"/>
        </w:rPr>
      </w:pPr>
    </w:p>
    <w:p>
      <w:pPr>
        <w:pStyle w:val="15"/>
        <w:adjustRightInd w:val="0"/>
        <w:snapToGrid w:val="0"/>
        <w:spacing w:beforeLines="50"/>
        <w:ind w:left="119" w:firstLine="1080" w:firstLineChars="450"/>
        <w:rPr>
          <w:rFonts w:ascii="宋体" w:hAnsi="宋体" w:eastAsia="宋体" w:cs="Times New Roman"/>
          <w:highlight w:val="none"/>
          <w:shd w:val="clear" w:color="auto" w:fill="auto"/>
        </w:rPr>
      </w:pPr>
      <w:r>
        <w:rPr>
          <w:rFonts w:ascii="宋体" w:hAnsi="宋体" w:eastAsia="宋体" w:cs="Times New Roman"/>
          <w:highlight w:val="none"/>
          <w:shd w:val="clear" w:color="auto" w:fill="auto"/>
        </w:rPr>
        <w:t>投标文件内容：</w:t>
      </w:r>
      <w:r>
        <w:rPr>
          <w:rFonts w:ascii="宋体" w:hAnsi="宋体" w:eastAsia="宋体" w:cs="Times New Roman"/>
          <w:szCs w:val="21"/>
          <w:highlight w:val="none"/>
          <w:shd w:val="clear" w:color="auto" w:fill="auto"/>
        </w:rPr>
        <w:t>□</w:t>
      </w:r>
      <w:r>
        <w:rPr>
          <w:rFonts w:ascii="宋体" w:hAnsi="宋体" w:eastAsia="宋体" w:cs="Times New Roman"/>
          <w:highlight w:val="none"/>
          <w:shd w:val="clear" w:color="auto" w:fill="auto"/>
        </w:rPr>
        <w:t xml:space="preserve">商务部分 </w:t>
      </w:r>
      <w:r>
        <w:rPr>
          <w:rFonts w:ascii="宋体" w:hAnsi="宋体" w:eastAsia="宋体" w:cs="Times New Roman"/>
          <w:szCs w:val="21"/>
          <w:highlight w:val="none"/>
          <w:shd w:val="clear" w:color="auto" w:fill="auto"/>
        </w:rPr>
        <w:t>■</w:t>
      </w:r>
      <w:r>
        <w:rPr>
          <w:rFonts w:ascii="宋体" w:hAnsi="宋体" w:eastAsia="宋体" w:cs="Times New Roman"/>
          <w:highlight w:val="none"/>
          <w:shd w:val="clear" w:color="auto" w:fill="auto"/>
        </w:rPr>
        <w:t>技术部分</w:t>
      </w:r>
    </w:p>
    <w:p>
      <w:pPr>
        <w:pStyle w:val="15"/>
        <w:adjustRightInd w:val="0"/>
        <w:snapToGrid w:val="0"/>
        <w:spacing w:beforeLines="50"/>
        <w:ind w:left="119" w:firstLine="1080" w:firstLineChars="45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投标人：</w:t>
      </w:r>
      <w:r>
        <w:rPr>
          <w:rFonts w:ascii="Times New Roman" w:hAnsi="Times New Roman" w:cs="Times New Roman"/>
          <w:highlight w:val="none"/>
          <w:u w:val="single"/>
          <w:shd w:val="clear" w:color="auto" w:fill="auto"/>
        </w:rPr>
        <w:tab/>
      </w:r>
      <w:r>
        <w:rPr>
          <w:rFonts w:ascii="Times New Roman" w:hAnsi="Times New Roman" w:cs="Times New Roman"/>
          <w:highlight w:val="none"/>
          <w:u w:val="single"/>
          <w:shd w:val="clear" w:color="auto" w:fill="auto"/>
        </w:rPr>
        <w:t xml:space="preserve">   （盖公章）</w:t>
      </w:r>
    </w:p>
    <w:p>
      <w:pPr>
        <w:pStyle w:val="15"/>
        <w:adjustRightInd w:val="0"/>
        <w:snapToGrid w:val="0"/>
        <w:spacing w:beforeLines="50"/>
        <w:ind w:left="119" w:firstLine="1080" w:firstLineChars="450"/>
        <w:rPr>
          <w:rFonts w:ascii="Times New Roman" w:hAnsi="Times New Roman" w:cs="Times New Roman"/>
          <w:highlight w:val="none"/>
          <w:shd w:val="clear" w:color="auto" w:fill="auto"/>
        </w:rPr>
      </w:pPr>
      <w:r>
        <w:rPr>
          <w:rFonts w:ascii="Times New Roman" w:hAnsi="Times New Roman" w:cs="Times New Roman"/>
          <w:highlight w:val="none"/>
          <w:shd w:val="clear" w:color="auto" w:fill="auto"/>
        </w:rPr>
        <w:t>日  期：  年 月  日</w:t>
      </w:r>
    </w:p>
    <w:p>
      <w:pPr>
        <w:jc w:val="center"/>
        <w:rPr>
          <w:rFonts w:ascii="黑体" w:hAnsi="黑体" w:eastAsia="黑体" w:cs="Times New Roman"/>
          <w:b/>
          <w:spacing w:val="1"/>
          <w:sz w:val="32"/>
          <w:szCs w:val="32"/>
          <w:highlight w:val="none"/>
          <w:shd w:val="clear" w:color="auto" w:fill="auto"/>
        </w:rPr>
      </w:pPr>
      <w:r>
        <w:rPr>
          <w:rFonts w:ascii="Times New Roman" w:hAnsi="Times New Roman" w:cs="Times New Roman"/>
          <w:highlight w:val="none"/>
          <w:shd w:val="clear" w:color="auto" w:fill="auto"/>
        </w:rPr>
        <w:br w:type="page"/>
      </w:r>
      <w:bookmarkStart w:id="573" w:name="_Toc532388804"/>
      <w:r>
        <w:rPr>
          <w:rFonts w:ascii="黑体" w:hAnsi="黑体" w:eastAsia="黑体" w:cs="Times New Roman"/>
          <w:sz w:val="28"/>
          <w:szCs w:val="28"/>
          <w:highlight w:val="none"/>
          <w:shd w:val="clear" w:color="auto" w:fill="auto"/>
        </w:rPr>
        <w:t>第</w:t>
      </w:r>
      <w:r>
        <w:rPr>
          <w:rFonts w:hint="eastAsia" w:ascii="黑体" w:hAnsi="黑体" w:eastAsia="黑体" w:cs="Times New Roman"/>
          <w:sz w:val="28"/>
          <w:szCs w:val="28"/>
          <w:highlight w:val="none"/>
          <w:shd w:val="clear" w:color="auto" w:fill="auto"/>
        </w:rPr>
        <w:t>二</w:t>
      </w:r>
      <w:r>
        <w:rPr>
          <w:rFonts w:ascii="黑体" w:hAnsi="黑体" w:eastAsia="黑体" w:cs="Times New Roman"/>
          <w:sz w:val="28"/>
          <w:szCs w:val="28"/>
          <w:highlight w:val="none"/>
          <w:shd w:val="clear" w:color="auto" w:fill="auto"/>
        </w:rPr>
        <w:t>部分 技术部分</w:t>
      </w:r>
      <w:bookmarkEnd w:id="573"/>
    </w:p>
    <w:p>
      <w:pPr>
        <w:pStyle w:val="149"/>
        <w:adjustRightInd w:val="0"/>
        <w:snapToGrid w:val="0"/>
        <w:spacing w:before="0" w:after="0" w:line="360" w:lineRule="auto"/>
        <w:ind w:firstLine="105" w:firstLineChars="50"/>
        <w:jc w:val="left"/>
        <w:rPr>
          <w:rFonts w:ascii="Times New Roman" w:hAnsi="Times New Roman" w:eastAsiaTheme="minorEastAsia"/>
          <w:sz w:val="21"/>
          <w:szCs w:val="21"/>
          <w:highlight w:val="none"/>
          <w:shd w:val="clear" w:color="auto" w:fill="auto"/>
          <w:lang w:eastAsia="zh-CN"/>
        </w:rPr>
      </w:pPr>
      <w:r>
        <w:rPr>
          <w:rFonts w:ascii="Times New Roman" w:hAnsi="Times New Roman" w:eastAsiaTheme="minorEastAsia"/>
          <w:sz w:val="21"/>
          <w:szCs w:val="21"/>
          <w:highlight w:val="none"/>
          <w:shd w:val="clear" w:color="auto" w:fill="auto"/>
          <w:lang w:eastAsia="zh-CN"/>
        </w:rPr>
        <w:t>技术部分应包括（但不限于）下列内容：</w:t>
      </w:r>
    </w:p>
    <w:p>
      <w:pPr>
        <w:adjustRightInd w:val="0"/>
        <w:snapToGrid w:val="0"/>
        <w:spacing w:before="0" w:after="0" w:line="360" w:lineRule="auto"/>
        <w:ind w:firstLine="102" w:firstLineChars="49"/>
        <w:outlineLvl w:val="2"/>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1.投标货物质量标准的详细描述</w:t>
      </w:r>
    </w:p>
    <w:p>
      <w:pPr>
        <w:adjustRightInd w:val="0"/>
        <w:snapToGrid w:val="0"/>
        <w:spacing w:before="0" w:after="0" w:line="360" w:lineRule="auto"/>
        <w:ind w:firstLine="102" w:firstLineChars="49"/>
        <w:outlineLvl w:val="2"/>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2.技术支持资料</w:t>
      </w:r>
    </w:p>
    <w:p>
      <w:pPr>
        <w:adjustRightInd w:val="0"/>
        <w:snapToGrid w:val="0"/>
        <w:spacing w:before="0" w:after="0" w:line="360" w:lineRule="auto"/>
        <w:ind w:firstLine="102" w:firstLineChars="49"/>
        <w:outlineLvl w:val="2"/>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3.相关服务计划</w:t>
      </w:r>
    </w:p>
    <w:p>
      <w:pPr>
        <w:adjustRightInd w:val="0"/>
        <w:snapToGrid w:val="0"/>
        <w:spacing w:before="0" w:after="0" w:line="360" w:lineRule="auto"/>
        <w:ind w:firstLine="102" w:firstLineChars="49"/>
        <w:outlineLvl w:val="2"/>
        <w:rPr>
          <w:rFonts w:ascii="Times New Roman" w:hAnsi="Times New Roman" w:cs="Times New Roman"/>
          <w:highlight w:val="none"/>
          <w:shd w:val="clear" w:color="auto" w:fill="auto"/>
        </w:rPr>
      </w:pPr>
      <w:r>
        <w:rPr>
          <w:rFonts w:ascii="Times New Roman" w:hAnsi="Times New Roman" w:cs="Times New Roman"/>
          <w:szCs w:val="21"/>
          <w:highlight w:val="none"/>
          <w:shd w:val="clear" w:color="auto" w:fill="auto"/>
        </w:rPr>
        <w:t>4.</w:t>
      </w:r>
      <w:r>
        <w:rPr>
          <w:rFonts w:ascii="Times New Roman" w:hAnsi="Times New Roman" w:cs="Times New Roman"/>
          <w:highlight w:val="none"/>
          <w:shd w:val="clear" w:color="auto" w:fill="auto"/>
        </w:rPr>
        <w:t>其他资料</w:t>
      </w:r>
    </w:p>
    <w:p>
      <w:pPr>
        <w:adjustRightInd w:val="0"/>
        <w:snapToGrid w:val="0"/>
        <w:spacing w:before="0" w:after="0" w:line="360" w:lineRule="auto"/>
        <w:ind w:firstLine="102" w:firstLineChars="49"/>
        <w:outlineLvl w:val="2"/>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5.技术条款差异表</w:t>
      </w:r>
    </w:p>
    <w:p>
      <w:pPr>
        <w:spacing w:before="0" w:after="0" w:line="440" w:lineRule="exact"/>
        <w:ind w:left="420" w:leftChars="200"/>
        <w:jc w:val="center"/>
        <w:rPr>
          <w:rFonts w:ascii="Times New Roman" w:hAnsi="Times New Roman" w:cs="Times New Roman"/>
          <w:b/>
          <w:highlight w:val="none"/>
          <w:shd w:val="clear" w:color="auto" w:fill="auto"/>
        </w:rPr>
      </w:pPr>
      <w:r>
        <w:rPr>
          <w:rFonts w:ascii="Times New Roman" w:hAnsi="Times New Roman" w:cs="Times New Roman"/>
          <w:b/>
          <w:highlight w:val="none"/>
          <w:shd w:val="clear" w:color="auto" w:fill="auto"/>
        </w:rPr>
        <w:t>技术条款差异表</w:t>
      </w:r>
    </w:p>
    <w:tbl>
      <w:tblPr>
        <w:tblStyle w:val="42"/>
        <w:tblW w:w="906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41"/>
        <w:gridCol w:w="942"/>
        <w:gridCol w:w="1787"/>
        <w:gridCol w:w="942"/>
        <w:gridCol w:w="1787"/>
        <w:gridCol w:w="26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序号</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招标文件</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投标文件</w:t>
            </w: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条目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简要内容</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条目</w:t>
            </w: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简要内容</w:t>
            </w: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1</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2</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3</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10" w:hRule="atLeast"/>
        </w:trPr>
        <w:tc>
          <w:tcPr>
            <w:tcW w:w="9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17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Cs w:val="21"/>
                <w:highlight w:val="none"/>
                <w:shd w:val="clear" w:color="auto" w:fill="auto"/>
              </w:rPr>
            </w:pPr>
          </w:p>
        </w:tc>
        <w:tc>
          <w:tcPr>
            <w:tcW w:w="2668"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cs="Times New Roman"/>
                <w:szCs w:val="21"/>
                <w:highlight w:val="none"/>
                <w:shd w:val="clear" w:color="auto" w:fill="auto"/>
              </w:rPr>
            </w:pPr>
          </w:p>
        </w:tc>
      </w:tr>
    </w:tbl>
    <w:p>
      <w:pPr>
        <w:adjustRightInd w:val="0"/>
        <w:snapToGrid w:val="0"/>
        <w:spacing w:before="0" w:after="0" w:line="360" w:lineRule="auto"/>
        <w:ind w:firstLine="420" w:firstLineChars="200"/>
        <w:rPr>
          <w:rFonts w:ascii="Times New Roman" w:hAnsi="Times New Roman" w:cs="Times New Roman"/>
          <w:szCs w:val="21"/>
          <w:highlight w:val="none"/>
          <w:shd w:val="clear" w:color="auto" w:fill="auto"/>
        </w:rPr>
      </w:pPr>
      <w:r>
        <w:rPr>
          <w:rFonts w:ascii="Times New Roman" w:hAnsi="Times New Roman" w:cs="Times New Roman"/>
          <w:szCs w:val="21"/>
          <w:highlight w:val="none"/>
          <w:shd w:val="clear" w:color="auto" w:fill="auto"/>
        </w:rPr>
        <w:t>我公司已将此次投标的所有差异列于上述表格，除上述表格中的内容再无其它差异。</w:t>
      </w:r>
    </w:p>
    <w:p>
      <w:pPr>
        <w:adjustRightInd w:val="0"/>
        <w:snapToGrid w:val="0"/>
        <w:spacing w:before="0" w:after="0" w:line="360" w:lineRule="auto"/>
        <w:ind w:firstLine="422" w:firstLineChars="200"/>
        <w:rPr>
          <w:rFonts w:ascii="Times New Roman" w:hAnsi="Times New Roman" w:cs="Times New Roman"/>
          <w:b/>
          <w:szCs w:val="21"/>
          <w:highlight w:val="none"/>
          <w:shd w:val="clear" w:color="auto" w:fill="auto"/>
        </w:rPr>
      </w:pPr>
      <w:r>
        <w:rPr>
          <w:rFonts w:ascii="Times New Roman" w:hAnsi="Times New Roman" w:cs="Times New Roman"/>
          <w:b/>
          <w:szCs w:val="21"/>
          <w:highlight w:val="none"/>
          <w:shd w:val="clear" w:color="auto" w:fill="auto"/>
        </w:rPr>
        <w:t>注：</w:t>
      </w:r>
    </w:p>
    <w:p>
      <w:pPr>
        <w:adjustRightInd w:val="0"/>
        <w:snapToGrid w:val="0"/>
        <w:spacing w:before="0" w:after="0" w:line="360" w:lineRule="auto"/>
        <w:ind w:firstLine="422" w:firstLineChars="200"/>
        <w:rPr>
          <w:rFonts w:ascii="Times New Roman" w:hAnsi="Times New Roman" w:cs="Times New Roman"/>
          <w:b/>
          <w:szCs w:val="21"/>
          <w:highlight w:val="none"/>
          <w:shd w:val="clear" w:color="auto" w:fill="auto"/>
          <w:lang w:val="zh-CN"/>
        </w:rPr>
      </w:pPr>
      <w:r>
        <w:rPr>
          <w:rFonts w:ascii="Times New Roman" w:hAnsi="Times New Roman" w:cs="Times New Roman"/>
          <w:b/>
          <w:szCs w:val="21"/>
          <w:highlight w:val="none"/>
          <w:shd w:val="clear" w:color="auto" w:fill="auto"/>
        </w:rPr>
        <w:t>1、投标方要将投标文件和招标文件的差异之处汇集成表。</w:t>
      </w:r>
      <w:r>
        <w:rPr>
          <w:rFonts w:ascii="Times New Roman" w:hAnsi="Times New Roman" w:cs="Times New Roman"/>
          <w:b/>
          <w:szCs w:val="21"/>
          <w:highlight w:val="none"/>
          <w:shd w:val="clear" w:color="auto" w:fill="auto"/>
          <w:lang w:val="zh-CN"/>
        </w:rPr>
        <w:t>投标文件对招标文件未提出异议的条款，均被视为接受和同意。投标文件与招标文件有差异之处，无论多么微小，均应按招标文件格式要求统一汇总说明。</w:t>
      </w:r>
    </w:p>
    <w:p>
      <w:pPr>
        <w:widowControl/>
        <w:spacing w:before="0" w:after="0" w:line="360" w:lineRule="auto"/>
        <w:rPr>
          <w:rFonts w:ascii="Times New Roman" w:hAnsi="Times New Roman" w:cs="Times New Roman"/>
          <w:highlight w:val="none"/>
          <w:shd w:val="clear" w:color="auto" w:fill="auto"/>
        </w:rPr>
      </w:pPr>
      <w:r>
        <w:rPr>
          <w:rFonts w:ascii="Times New Roman" w:hAnsi="Times New Roman" w:cs="Times New Roman"/>
          <w:b/>
          <w:szCs w:val="21"/>
          <w:highlight w:val="none"/>
          <w:shd w:val="clear" w:color="auto" w:fill="auto"/>
          <w:lang w:val="zh-CN"/>
        </w:rPr>
        <w:t xml:space="preserve">    2、对于投标人提出的上述差异，如存在重大偏离，导致招标人无法承受，则有可能导致其投标被否决。</w:t>
      </w:r>
    </w:p>
    <w:bookmarkEnd w:id="545"/>
    <w:bookmarkEnd w:id="546"/>
    <w:bookmarkEnd w:id="547"/>
    <w:p>
      <w:pPr>
        <w:widowControl/>
        <w:rPr>
          <w:rFonts w:ascii="Times New Roman" w:hAnsi="Times New Roman" w:cs="Times New Roman"/>
          <w:b/>
          <w:sz w:val="30"/>
          <w:szCs w:val="21"/>
          <w:highlight w:val="none"/>
          <w:shd w:val="clear" w:color="auto" w:fill="auto"/>
        </w:rPr>
      </w:pPr>
    </w:p>
    <w:sectPr>
      <w:footerReference r:id="rId8" w:type="default"/>
      <w:pgSz w:w="11907" w:h="16840"/>
      <w:pgMar w:top="1418" w:right="1417"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经典粗黑简">
    <w:altName w:val="微软雅黑"/>
    <w:panose1 w:val="00000000000000000000"/>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3353097"/>
      <w:docPartObj>
        <w:docPartGallery w:val="autotext"/>
      </w:docPartObj>
    </w:sdtPr>
    <w:sdtContent>
      <w:p>
        <w:pPr>
          <w:pStyle w:val="2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1907135"/>
      <w:docPartObj>
        <w:docPartGallery w:val="autotext"/>
      </w:docPartObj>
    </w:sdtPr>
    <w:sdtContent>
      <w:p>
        <w:pPr>
          <w:pStyle w:val="26"/>
          <w:jc w:val="center"/>
        </w:pPr>
        <w:r>
          <w:fldChar w:fldCharType="begin"/>
        </w:r>
        <w:r>
          <w:instrText xml:space="preserve">PAGE   \* MERGEFORMAT</w:instrText>
        </w:r>
        <w:r>
          <w:fldChar w:fldCharType="separate"/>
        </w:r>
        <w:r>
          <w:rPr>
            <w:lang w:val="zh-CN"/>
          </w:rPr>
          <w:t>27</w:t>
        </w:r>
        <w:r>
          <w:rPr>
            <w:lang w:val="zh-CN"/>
          </w:rPr>
          <w:fldChar w:fldCharType="end"/>
        </w:r>
      </w:p>
    </w:sdtContent>
  </w:sdt>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0" w:after="0"/>
      <w:jc w:val="center"/>
    </w:pPr>
    <w:r>
      <w:fldChar w:fldCharType="begin"/>
    </w:r>
    <w:r>
      <w:instrText xml:space="preserve">PAGE   \* MERGEFORMAT</w:instrText>
    </w:r>
    <w:r>
      <w:fldChar w:fldCharType="separate"/>
    </w:r>
    <w:r>
      <w:rPr>
        <w:lang w:val="zh-CN"/>
      </w:rPr>
      <w:t>55</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tabs>
        <w:tab w:val="right" w:pos="8505"/>
        <w:tab w:val="clear" w:pos="8306"/>
      </w:tabs>
      <w:spacing w:before="0" w:after="0"/>
      <w:ind w:firstLine="8280" w:firstLineChars="460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505"/>
        <w:tab w:val="clear" w:pos="8306"/>
      </w:tabs>
      <w:spacing w:before="0" w:after="0"/>
      <w:ind w:firstLine="8280" w:firstLineChars="4600"/>
      <w:jc w:val="lef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6F7F"/>
    <w:multiLevelType w:val="multilevel"/>
    <w:tmpl w:val="43346F7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76F0"/>
    <w:rsid w:val="000030A6"/>
    <w:rsid w:val="00003D62"/>
    <w:rsid w:val="00003DDE"/>
    <w:rsid w:val="000041F4"/>
    <w:rsid w:val="000059C3"/>
    <w:rsid w:val="00006035"/>
    <w:rsid w:val="00006438"/>
    <w:rsid w:val="000068B1"/>
    <w:rsid w:val="000078BB"/>
    <w:rsid w:val="0001031C"/>
    <w:rsid w:val="00010447"/>
    <w:rsid w:val="00010E6C"/>
    <w:rsid w:val="000114A1"/>
    <w:rsid w:val="0001180C"/>
    <w:rsid w:val="00011B92"/>
    <w:rsid w:val="00012FB8"/>
    <w:rsid w:val="00012FE0"/>
    <w:rsid w:val="00015383"/>
    <w:rsid w:val="0001769C"/>
    <w:rsid w:val="00023B65"/>
    <w:rsid w:val="00023BE8"/>
    <w:rsid w:val="00026780"/>
    <w:rsid w:val="000271F0"/>
    <w:rsid w:val="000272BF"/>
    <w:rsid w:val="00027441"/>
    <w:rsid w:val="000279FC"/>
    <w:rsid w:val="00030179"/>
    <w:rsid w:val="00030C1F"/>
    <w:rsid w:val="00030C65"/>
    <w:rsid w:val="000321DD"/>
    <w:rsid w:val="00032685"/>
    <w:rsid w:val="00033279"/>
    <w:rsid w:val="000332F5"/>
    <w:rsid w:val="00033FA9"/>
    <w:rsid w:val="000346B5"/>
    <w:rsid w:val="00034B75"/>
    <w:rsid w:val="00040200"/>
    <w:rsid w:val="00042DBB"/>
    <w:rsid w:val="00043FF0"/>
    <w:rsid w:val="00045A06"/>
    <w:rsid w:val="00045EE1"/>
    <w:rsid w:val="00046E70"/>
    <w:rsid w:val="000479B4"/>
    <w:rsid w:val="00050CC7"/>
    <w:rsid w:val="00051BD5"/>
    <w:rsid w:val="0005355B"/>
    <w:rsid w:val="000603BF"/>
    <w:rsid w:val="00060437"/>
    <w:rsid w:val="00063E30"/>
    <w:rsid w:val="00065B04"/>
    <w:rsid w:val="00066DC0"/>
    <w:rsid w:val="0006714F"/>
    <w:rsid w:val="000718D6"/>
    <w:rsid w:val="000735DF"/>
    <w:rsid w:val="00074A89"/>
    <w:rsid w:val="0007634E"/>
    <w:rsid w:val="00076A2A"/>
    <w:rsid w:val="000803E8"/>
    <w:rsid w:val="00081EB1"/>
    <w:rsid w:val="000820B9"/>
    <w:rsid w:val="00085431"/>
    <w:rsid w:val="00085AE1"/>
    <w:rsid w:val="000868C6"/>
    <w:rsid w:val="0008690E"/>
    <w:rsid w:val="000873DF"/>
    <w:rsid w:val="00087F43"/>
    <w:rsid w:val="0009064C"/>
    <w:rsid w:val="00090EC2"/>
    <w:rsid w:val="000910C2"/>
    <w:rsid w:val="00091572"/>
    <w:rsid w:val="00091E3C"/>
    <w:rsid w:val="0009220B"/>
    <w:rsid w:val="0009342E"/>
    <w:rsid w:val="000934D6"/>
    <w:rsid w:val="000936FF"/>
    <w:rsid w:val="0009559B"/>
    <w:rsid w:val="00096B1D"/>
    <w:rsid w:val="00096E3C"/>
    <w:rsid w:val="000A00F2"/>
    <w:rsid w:val="000A2712"/>
    <w:rsid w:val="000A36FB"/>
    <w:rsid w:val="000A39E4"/>
    <w:rsid w:val="000A7923"/>
    <w:rsid w:val="000B0F04"/>
    <w:rsid w:val="000B0F2A"/>
    <w:rsid w:val="000B0F49"/>
    <w:rsid w:val="000B17B5"/>
    <w:rsid w:val="000B4480"/>
    <w:rsid w:val="000B6D86"/>
    <w:rsid w:val="000B71A8"/>
    <w:rsid w:val="000B73B3"/>
    <w:rsid w:val="000C0420"/>
    <w:rsid w:val="000C06F2"/>
    <w:rsid w:val="000C4C0D"/>
    <w:rsid w:val="000C75CC"/>
    <w:rsid w:val="000C76E0"/>
    <w:rsid w:val="000C7D78"/>
    <w:rsid w:val="000C7E1A"/>
    <w:rsid w:val="000D11DB"/>
    <w:rsid w:val="000D3075"/>
    <w:rsid w:val="000D5A04"/>
    <w:rsid w:val="000D5B90"/>
    <w:rsid w:val="000D5C3E"/>
    <w:rsid w:val="000E0048"/>
    <w:rsid w:val="000E0E05"/>
    <w:rsid w:val="000E1563"/>
    <w:rsid w:val="000E1AF8"/>
    <w:rsid w:val="000E3A92"/>
    <w:rsid w:val="000E51C3"/>
    <w:rsid w:val="000E7BEB"/>
    <w:rsid w:val="000E7DCE"/>
    <w:rsid w:val="000F07A0"/>
    <w:rsid w:val="000F20CB"/>
    <w:rsid w:val="000F4662"/>
    <w:rsid w:val="000F5901"/>
    <w:rsid w:val="000F59FA"/>
    <w:rsid w:val="000F74D0"/>
    <w:rsid w:val="001006F7"/>
    <w:rsid w:val="00103072"/>
    <w:rsid w:val="001030CB"/>
    <w:rsid w:val="0010406F"/>
    <w:rsid w:val="00104322"/>
    <w:rsid w:val="001048EB"/>
    <w:rsid w:val="00104D59"/>
    <w:rsid w:val="0010662E"/>
    <w:rsid w:val="00110305"/>
    <w:rsid w:val="00111184"/>
    <w:rsid w:val="0011208E"/>
    <w:rsid w:val="001123F5"/>
    <w:rsid w:val="00116BED"/>
    <w:rsid w:val="0012130F"/>
    <w:rsid w:val="0012220D"/>
    <w:rsid w:val="00122ACF"/>
    <w:rsid w:val="00125B69"/>
    <w:rsid w:val="00130129"/>
    <w:rsid w:val="00130CE2"/>
    <w:rsid w:val="001320A8"/>
    <w:rsid w:val="001320AD"/>
    <w:rsid w:val="00132BB6"/>
    <w:rsid w:val="00133547"/>
    <w:rsid w:val="00134E77"/>
    <w:rsid w:val="00137EBD"/>
    <w:rsid w:val="0014023B"/>
    <w:rsid w:val="00143FC6"/>
    <w:rsid w:val="0014547E"/>
    <w:rsid w:val="00145DF5"/>
    <w:rsid w:val="00146BF3"/>
    <w:rsid w:val="00146C6D"/>
    <w:rsid w:val="00151283"/>
    <w:rsid w:val="001514A4"/>
    <w:rsid w:val="00151C5C"/>
    <w:rsid w:val="00152635"/>
    <w:rsid w:val="001535CC"/>
    <w:rsid w:val="00154296"/>
    <w:rsid w:val="00155BBB"/>
    <w:rsid w:val="00163F0C"/>
    <w:rsid w:val="00164DC7"/>
    <w:rsid w:val="00167A1B"/>
    <w:rsid w:val="001717C7"/>
    <w:rsid w:val="001726C2"/>
    <w:rsid w:val="001741FF"/>
    <w:rsid w:val="0017491E"/>
    <w:rsid w:val="00175C4A"/>
    <w:rsid w:val="00175F57"/>
    <w:rsid w:val="0017611B"/>
    <w:rsid w:val="001778CB"/>
    <w:rsid w:val="00180F82"/>
    <w:rsid w:val="00183992"/>
    <w:rsid w:val="00184901"/>
    <w:rsid w:val="0018533B"/>
    <w:rsid w:val="00185FB7"/>
    <w:rsid w:val="001869DC"/>
    <w:rsid w:val="0018772C"/>
    <w:rsid w:val="0018798A"/>
    <w:rsid w:val="00190334"/>
    <w:rsid w:val="00192CE4"/>
    <w:rsid w:val="00193B45"/>
    <w:rsid w:val="0019575E"/>
    <w:rsid w:val="001A124F"/>
    <w:rsid w:val="001A1516"/>
    <w:rsid w:val="001A24B4"/>
    <w:rsid w:val="001A3F03"/>
    <w:rsid w:val="001A5571"/>
    <w:rsid w:val="001A693E"/>
    <w:rsid w:val="001A6955"/>
    <w:rsid w:val="001B0B50"/>
    <w:rsid w:val="001B1978"/>
    <w:rsid w:val="001B2ECD"/>
    <w:rsid w:val="001B31B4"/>
    <w:rsid w:val="001B3EFA"/>
    <w:rsid w:val="001B4DE0"/>
    <w:rsid w:val="001B510F"/>
    <w:rsid w:val="001B64C3"/>
    <w:rsid w:val="001B7C8E"/>
    <w:rsid w:val="001C11F9"/>
    <w:rsid w:val="001C434E"/>
    <w:rsid w:val="001C4FB0"/>
    <w:rsid w:val="001C4FE6"/>
    <w:rsid w:val="001C51D2"/>
    <w:rsid w:val="001C5B4B"/>
    <w:rsid w:val="001C6060"/>
    <w:rsid w:val="001C6944"/>
    <w:rsid w:val="001C7470"/>
    <w:rsid w:val="001D12EC"/>
    <w:rsid w:val="001D1734"/>
    <w:rsid w:val="001D1833"/>
    <w:rsid w:val="001D46EB"/>
    <w:rsid w:val="001D4A9A"/>
    <w:rsid w:val="001D62C7"/>
    <w:rsid w:val="001D65D3"/>
    <w:rsid w:val="001D6EF6"/>
    <w:rsid w:val="001D6F30"/>
    <w:rsid w:val="001D7DFC"/>
    <w:rsid w:val="001D7E35"/>
    <w:rsid w:val="001E05A8"/>
    <w:rsid w:val="001E10DD"/>
    <w:rsid w:val="001E356F"/>
    <w:rsid w:val="001E39DB"/>
    <w:rsid w:val="001E3C22"/>
    <w:rsid w:val="001E3E7C"/>
    <w:rsid w:val="001E44DB"/>
    <w:rsid w:val="001E5A60"/>
    <w:rsid w:val="001E60A2"/>
    <w:rsid w:val="001E6F85"/>
    <w:rsid w:val="001F15CC"/>
    <w:rsid w:val="001F1945"/>
    <w:rsid w:val="001F27A4"/>
    <w:rsid w:val="001F2A2B"/>
    <w:rsid w:val="001F346E"/>
    <w:rsid w:val="001F5112"/>
    <w:rsid w:val="001F53C2"/>
    <w:rsid w:val="001F58B8"/>
    <w:rsid w:val="001F65FE"/>
    <w:rsid w:val="001F7168"/>
    <w:rsid w:val="00200486"/>
    <w:rsid w:val="002014B8"/>
    <w:rsid w:val="00201FB6"/>
    <w:rsid w:val="00203C95"/>
    <w:rsid w:val="002045A6"/>
    <w:rsid w:val="00204FC7"/>
    <w:rsid w:val="0021140B"/>
    <w:rsid w:val="002152F8"/>
    <w:rsid w:val="002155B4"/>
    <w:rsid w:val="00216D10"/>
    <w:rsid w:val="00223232"/>
    <w:rsid w:val="00224F21"/>
    <w:rsid w:val="00226ED5"/>
    <w:rsid w:val="00231047"/>
    <w:rsid w:val="00231AF8"/>
    <w:rsid w:val="002335E9"/>
    <w:rsid w:val="002342EA"/>
    <w:rsid w:val="00234913"/>
    <w:rsid w:val="002365A7"/>
    <w:rsid w:val="0023662E"/>
    <w:rsid w:val="00236B14"/>
    <w:rsid w:val="002375EC"/>
    <w:rsid w:val="00237CBE"/>
    <w:rsid w:val="00240061"/>
    <w:rsid w:val="00240C84"/>
    <w:rsid w:val="00241801"/>
    <w:rsid w:val="00242706"/>
    <w:rsid w:val="00244CB0"/>
    <w:rsid w:val="002461CC"/>
    <w:rsid w:val="002478C9"/>
    <w:rsid w:val="00250242"/>
    <w:rsid w:val="002502D3"/>
    <w:rsid w:val="00250AFB"/>
    <w:rsid w:val="0025199B"/>
    <w:rsid w:val="00252515"/>
    <w:rsid w:val="00252601"/>
    <w:rsid w:val="0025499D"/>
    <w:rsid w:val="00255A07"/>
    <w:rsid w:val="00256698"/>
    <w:rsid w:val="00261836"/>
    <w:rsid w:val="00263B2E"/>
    <w:rsid w:val="00264A6C"/>
    <w:rsid w:val="0026589B"/>
    <w:rsid w:val="00266A47"/>
    <w:rsid w:val="00267051"/>
    <w:rsid w:val="00270222"/>
    <w:rsid w:val="00272557"/>
    <w:rsid w:val="00272D94"/>
    <w:rsid w:val="002747FB"/>
    <w:rsid w:val="002770F9"/>
    <w:rsid w:val="002771CC"/>
    <w:rsid w:val="002774E2"/>
    <w:rsid w:val="00280A7D"/>
    <w:rsid w:val="00280BC5"/>
    <w:rsid w:val="00281776"/>
    <w:rsid w:val="0028319E"/>
    <w:rsid w:val="00283CC1"/>
    <w:rsid w:val="00285E67"/>
    <w:rsid w:val="00286A4D"/>
    <w:rsid w:val="00293816"/>
    <w:rsid w:val="002959BF"/>
    <w:rsid w:val="00297AB8"/>
    <w:rsid w:val="00297F28"/>
    <w:rsid w:val="002A0E02"/>
    <w:rsid w:val="002A18DB"/>
    <w:rsid w:val="002A1A8C"/>
    <w:rsid w:val="002A49FB"/>
    <w:rsid w:val="002A5DA3"/>
    <w:rsid w:val="002A632D"/>
    <w:rsid w:val="002B0C23"/>
    <w:rsid w:val="002B0DCF"/>
    <w:rsid w:val="002B1885"/>
    <w:rsid w:val="002B49BF"/>
    <w:rsid w:val="002B544D"/>
    <w:rsid w:val="002B5855"/>
    <w:rsid w:val="002B5BA8"/>
    <w:rsid w:val="002B65C4"/>
    <w:rsid w:val="002B6AD1"/>
    <w:rsid w:val="002B7EB7"/>
    <w:rsid w:val="002C175F"/>
    <w:rsid w:val="002C3244"/>
    <w:rsid w:val="002C3433"/>
    <w:rsid w:val="002C5899"/>
    <w:rsid w:val="002C5E3C"/>
    <w:rsid w:val="002C66B0"/>
    <w:rsid w:val="002D0336"/>
    <w:rsid w:val="002D0454"/>
    <w:rsid w:val="002D37C4"/>
    <w:rsid w:val="002D45A0"/>
    <w:rsid w:val="002D5CB9"/>
    <w:rsid w:val="002D6A49"/>
    <w:rsid w:val="002D77B8"/>
    <w:rsid w:val="002E01D5"/>
    <w:rsid w:val="002E16D5"/>
    <w:rsid w:val="002E4B6F"/>
    <w:rsid w:val="002E6DE7"/>
    <w:rsid w:val="002E7219"/>
    <w:rsid w:val="002E7B62"/>
    <w:rsid w:val="002E7D14"/>
    <w:rsid w:val="002F0432"/>
    <w:rsid w:val="002F04D9"/>
    <w:rsid w:val="002F1E8C"/>
    <w:rsid w:val="002F54E9"/>
    <w:rsid w:val="002F6D7D"/>
    <w:rsid w:val="0030040D"/>
    <w:rsid w:val="003027BD"/>
    <w:rsid w:val="00302FAC"/>
    <w:rsid w:val="00304A0D"/>
    <w:rsid w:val="0030530F"/>
    <w:rsid w:val="003063C0"/>
    <w:rsid w:val="00306461"/>
    <w:rsid w:val="00306A2D"/>
    <w:rsid w:val="00306CF5"/>
    <w:rsid w:val="00311A36"/>
    <w:rsid w:val="00311AE1"/>
    <w:rsid w:val="00314AE0"/>
    <w:rsid w:val="00315ED1"/>
    <w:rsid w:val="0032055B"/>
    <w:rsid w:val="00321914"/>
    <w:rsid w:val="00322F99"/>
    <w:rsid w:val="00324830"/>
    <w:rsid w:val="00324DAD"/>
    <w:rsid w:val="00325AF5"/>
    <w:rsid w:val="00325DA9"/>
    <w:rsid w:val="00325E5D"/>
    <w:rsid w:val="003318E9"/>
    <w:rsid w:val="00331CBD"/>
    <w:rsid w:val="00331EC8"/>
    <w:rsid w:val="0033250A"/>
    <w:rsid w:val="003338DD"/>
    <w:rsid w:val="0033489F"/>
    <w:rsid w:val="00335165"/>
    <w:rsid w:val="00335722"/>
    <w:rsid w:val="00336ED3"/>
    <w:rsid w:val="0034119B"/>
    <w:rsid w:val="003416A0"/>
    <w:rsid w:val="00341C5B"/>
    <w:rsid w:val="0034218A"/>
    <w:rsid w:val="00342EBE"/>
    <w:rsid w:val="00343E18"/>
    <w:rsid w:val="00344928"/>
    <w:rsid w:val="003451E7"/>
    <w:rsid w:val="00345663"/>
    <w:rsid w:val="00345E39"/>
    <w:rsid w:val="00345F4C"/>
    <w:rsid w:val="003464EA"/>
    <w:rsid w:val="00347469"/>
    <w:rsid w:val="00351FA7"/>
    <w:rsid w:val="0035261E"/>
    <w:rsid w:val="00352931"/>
    <w:rsid w:val="003529D7"/>
    <w:rsid w:val="00353ABA"/>
    <w:rsid w:val="00354B37"/>
    <w:rsid w:val="003556D6"/>
    <w:rsid w:val="00355952"/>
    <w:rsid w:val="00355C30"/>
    <w:rsid w:val="00356056"/>
    <w:rsid w:val="00357026"/>
    <w:rsid w:val="00357806"/>
    <w:rsid w:val="003578F4"/>
    <w:rsid w:val="00357D69"/>
    <w:rsid w:val="0036018D"/>
    <w:rsid w:val="003621BA"/>
    <w:rsid w:val="003632DB"/>
    <w:rsid w:val="00363BDE"/>
    <w:rsid w:val="00365F77"/>
    <w:rsid w:val="00367E61"/>
    <w:rsid w:val="00371F59"/>
    <w:rsid w:val="0037408E"/>
    <w:rsid w:val="00375B07"/>
    <w:rsid w:val="00375EF5"/>
    <w:rsid w:val="003767E7"/>
    <w:rsid w:val="00380ED5"/>
    <w:rsid w:val="00381891"/>
    <w:rsid w:val="00384798"/>
    <w:rsid w:val="0038562C"/>
    <w:rsid w:val="00385C99"/>
    <w:rsid w:val="00385D71"/>
    <w:rsid w:val="0039034C"/>
    <w:rsid w:val="00391DF6"/>
    <w:rsid w:val="00392506"/>
    <w:rsid w:val="00392C39"/>
    <w:rsid w:val="00392E9C"/>
    <w:rsid w:val="00393275"/>
    <w:rsid w:val="003959E2"/>
    <w:rsid w:val="00396567"/>
    <w:rsid w:val="00397362"/>
    <w:rsid w:val="003A0569"/>
    <w:rsid w:val="003A0B59"/>
    <w:rsid w:val="003A1751"/>
    <w:rsid w:val="003A24C3"/>
    <w:rsid w:val="003A2602"/>
    <w:rsid w:val="003A2DD3"/>
    <w:rsid w:val="003A3503"/>
    <w:rsid w:val="003A4EDC"/>
    <w:rsid w:val="003A60F7"/>
    <w:rsid w:val="003A66FE"/>
    <w:rsid w:val="003A708D"/>
    <w:rsid w:val="003B089F"/>
    <w:rsid w:val="003B1025"/>
    <w:rsid w:val="003B215F"/>
    <w:rsid w:val="003B2B3C"/>
    <w:rsid w:val="003B2DD6"/>
    <w:rsid w:val="003B4394"/>
    <w:rsid w:val="003B48FC"/>
    <w:rsid w:val="003B5960"/>
    <w:rsid w:val="003C02F4"/>
    <w:rsid w:val="003C1F08"/>
    <w:rsid w:val="003C2588"/>
    <w:rsid w:val="003C25B5"/>
    <w:rsid w:val="003C2F2D"/>
    <w:rsid w:val="003C3CF4"/>
    <w:rsid w:val="003C3E61"/>
    <w:rsid w:val="003C4015"/>
    <w:rsid w:val="003C5673"/>
    <w:rsid w:val="003C5A74"/>
    <w:rsid w:val="003C6E20"/>
    <w:rsid w:val="003D372F"/>
    <w:rsid w:val="003D464A"/>
    <w:rsid w:val="003D5A0F"/>
    <w:rsid w:val="003D61F9"/>
    <w:rsid w:val="003E14CC"/>
    <w:rsid w:val="003E377A"/>
    <w:rsid w:val="003E4554"/>
    <w:rsid w:val="003E5200"/>
    <w:rsid w:val="003F0023"/>
    <w:rsid w:val="003F17C8"/>
    <w:rsid w:val="003F267A"/>
    <w:rsid w:val="003F2F92"/>
    <w:rsid w:val="003F316E"/>
    <w:rsid w:val="003F49EF"/>
    <w:rsid w:val="003F58CA"/>
    <w:rsid w:val="003F667D"/>
    <w:rsid w:val="003F6F96"/>
    <w:rsid w:val="0040024E"/>
    <w:rsid w:val="00400FB3"/>
    <w:rsid w:val="00403F4C"/>
    <w:rsid w:val="0040460F"/>
    <w:rsid w:val="00405261"/>
    <w:rsid w:val="004061B7"/>
    <w:rsid w:val="004069D9"/>
    <w:rsid w:val="00410803"/>
    <w:rsid w:val="00412581"/>
    <w:rsid w:val="00412D03"/>
    <w:rsid w:val="0041400F"/>
    <w:rsid w:val="00415E3D"/>
    <w:rsid w:val="004166F0"/>
    <w:rsid w:val="00416EA6"/>
    <w:rsid w:val="0041706F"/>
    <w:rsid w:val="0042103A"/>
    <w:rsid w:val="00423B3B"/>
    <w:rsid w:val="00424534"/>
    <w:rsid w:val="00424D8E"/>
    <w:rsid w:val="00426233"/>
    <w:rsid w:val="0042634B"/>
    <w:rsid w:val="004267C8"/>
    <w:rsid w:val="00426C5B"/>
    <w:rsid w:val="00427AC0"/>
    <w:rsid w:val="004310FB"/>
    <w:rsid w:val="004322AB"/>
    <w:rsid w:val="00432E5F"/>
    <w:rsid w:val="004363CC"/>
    <w:rsid w:val="00436922"/>
    <w:rsid w:val="004408AD"/>
    <w:rsid w:val="00441718"/>
    <w:rsid w:val="00441C37"/>
    <w:rsid w:val="00442C41"/>
    <w:rsid w:val="004466DD"/>
    <w:rsid w:val="004473A9"/>
    <w:rsid w:val="00450DFE"/>
    <w:rsid w:val="00451F0A"/>
    <w:rsid w:val="004521A1"/>
    <w:rsid w:val="004532D0"/>
    <w:rsid w:val="004550C0"/>
    <w:rsid w:val="00456949"/>
    <w:rsid w:val="004574AB"/>
    <w:rsid w:val="004609F7"/>
    <w:rsid w:val="004645C9"/>
    <w:rsid w:val="00466A82"/>
    <w:rsid w:val="00467474"/>
    <w:rsid w:val="004675E5"/>
    <w:rsid w:val="00473178"/>
    <w:rsid w:val="00474272"/>
    <w:rsid w:val="004745E8"/>
    <w:rsid w:val="004748CD"/>
    <w:rsid w:val="00475AAA"/>
    <w:rsid w:val="00475B7F"/>
    <w:rsid w:val="00476B08"/>
    <w:rsid w:val="00481181"/>
    <w:rsid w:val="00481218"/>
    <w:rsid w:val="004819EA"/>
    <w:rsid w:val="00482301"/>
    <w:rsid w:val="00482747"/>
    <w:rsid w:val="00483DF0"/>
    <w:rsid w:val="00484323"/>
    <w:rsid w:val="00484FEB"/>
    <w:rsid w:val="004851A5"/>
    <w:rsid w:val="004875B3"/>
    <w:rsid w:val="00491E96"/>
    <w:rsid w:val="004922C1"/>
    <w:rsid w:val="00493689"/>
    <w:rsid w:val="00493CA1"/>
    <w:rsid w:val="00493E8C"/>
    <w:rsid w:val="00494C45"/>
    <w:rsid w:val="004964E2"/>
    <w:rsid w:val="004966B9"/>
    <w:rsid w:val="004973A2"/>
    <w:rsid w:val="00497A20"/>
    <w:rsid w:val="00497DD4"/>
    <w:rsid w:val="004A10FE"/>
    <w:rsid w:val="004A1E2D"/>
    <w:rsid w:val="004A1E40"/>
    <w:rsid w:val="004A2249"/>
    <w:rsid w:val="004A231D"/>
    <w:rsid w:val="004A3608"/>
    <w:rsid w:val="004A4040"/>
    <w:rsid w:val="004B0A6D"/>
    <w:rsid w:val="004B1B8C"/>
    <w:rsid w:val="004B4547"/>
    <w:rsid w:val="004B48BE"/>
    <w:rsid w:val="004B54B4"/>
    <w:rsid w:val="004B587B"/>
    <w:rsid w:val="004B5CFF"/>
    <w:rsid w:val="004B6E22"/>
    <w:rsid w:val="004B737A"/>
    <w:rsid w:val="004B74DF"/>
    <w:rsid w:val="004B7941"/>
    <w:rsid w:val="004C29C1"/>
    <w:rsid w:val="004C33AD"/>
    <w:rsid w:val="004C7014"/>
    <w:rsid w:val="004C7184"/>
    <w:rsid w:val="004D0FA7"/>
    <w:rsid w:val="004D1646"/>
    <w:rsid w:val="004D1919"/>
    <w:rsid w:val="004D33B3"/>
    <w:rsid w:val="004D3ECA"/>
    <w:rsid w:val="004D71B4"/>
    <w:rsid w:val="004D72AA"/>
    <w:rsid w:val="004E05D5"/>
    <w:rsid w:val="004E0BAF"/>
    <w:rsid w:val="004E0C74"/>
    <w:rsid w:val="004E14CB"/>
    <w:rsid w:val="004E3E47"/>
    <w:rsid w:val="004E47E5"/>
    <w:rsid w:val="004E686C"/>
    <w:rsid w:val="004E6E55"/>
    <w:rsid w:val="004E73D3"/>
    <w:rsid w:val="004F0458"/>
    <w:rsid w:val="004F09B2"/>
    <w:rsid w:val="004F2925"/>
    <w:rsid w:val="004F4BD2"/>
    <w:rsid w:val="004F4C21"/>
    <w:rsid w:val="004F6C9C"/>
    <w:rsid w:val="004F7119"/>
    <w:rsid w:val="004F7D42"/>
    <w:rsid w:val="005010FF"/>
    <w:rsid w:val="00502369"/>
    <w:rsid w:val="0050242D"/>
    <w:rsid w:val="0050250F"/>
    <w:rsid w:val="005032FC"/>
    <w:rsid w:val="0050614D"/>
    <w:rsid w:val="00510B29"/>
    <w:rsid w:val="00510B68"/>
    <w:rsid w:val="00512A43"/>
    <w:rsid w:val="00512B57"/>
    <w:rsid w:val="005138DB"/>
    <w:rsid w:val="00515585"/>
    <w:rsid w:val="00516C22"/>
    <w:rsid w:val="00520076"/>
    <w:rsid w:val="005202D6"/>
    <w:rsid w:val="00521026"/>
    <w:rsid w:val="00521329"/>
    <w:rsid w:val="0052142C"/>
    <w:rsid w:val="00521838"/>
    <w:rsid w:val="0052339D"/>
    <w:rsid w:val="00523D4E"/>
    <w:rsid w:val="005249BC"/>
    <w:rsid w:val="005253C9"/>
    <w:rsid w:val="005262AE"/>
    <w:rsid w:val="00526B37"/>
    <w:rsid w:val="00527420"/>
    <w:rsid w:val="005310B7"/>
    <w:rsid w:val="00531EAD"/>
    <w:rsid w:val="005329FF"/>
    <w:rsid w:val="00534F4E"/>
    <w:rsid w:val="005370A2"/>
    <w:rsid w:val="00537B46"/>
    <w:rsid w:val="00537E7E"/>
    <w:rsid w:val="00542E9B"/>
    <w:rsid w:val="00543061"/>
    <w:rsid w:val="005433F3"/>
    <w:rsid w:val="00544B0C"/>
    <w:rsid w:val="005478AF"/>
    <w:rsid w:val="00551735"/>
    <w:rsid w:val="00552B74"/>
    <w:rsid w:val="00552E86"/>
    <w:rsid w:val="00553411"/>
    <w:rsid w:val="00554FF5"/>
    <w:rsid w:val="005560E6"/>
    <w:rsid w:val="00556979"/>
    <w:rsid w:val="005579F8"/>
    <w:rsid w:val="00561112"/>
    <w:rsid w:val="00561CED"/>
    <w:rsid w:val="0056233E"/>
    <w:rsid w:val="005631AF"/>
    <w:rsid w:val="00563602"/>
    <w:rsid w:val="00565684"/>
    <w:rsid w:val="00565A3E"/>
    <w:rsid w:val="005661E3"/>
    <w:rsid w:val="005718BB"/>
    <w:rsid w:val="00571A0F"/>
    <w:rsid w:val="00571DBE"/>
    <w:rsid w:val="005725B1"/>
    <w:rsid w:val="00572EEF"/>
    <w:rsid w:val="0057302E"/>
    <w:rsid w:val="00574884"/>
    <w:rsid w:val="00575300"/>
    <w:rsid w:val="00575A79"/>
    <w:rsid w:val="005768F6"/>
    <w:rsid w:val="005773F5"/>
    <w:rsid w:val="00581857"/>
    <w:rsid w:val="00585AB2"/>
    <w:rsid w:val="00585FEF"/>
    <w:rsid w:val="005867C4"/>
    <w:rsid w:val="00587168"/>
    <w:rsid w:val="005873F9"/>
    <w:rsid w:val="00587A0E"/>
    <w:rsid w:val="00587E2B"/>
    <w:rsid w:val="0059059E"/>
    <w:rsid w:val="005911FD"/>
    <w:rsid w:val="00591C28"/>
    <w:rsid w:val="00591E71"/>
    <w:rsid w:val="0059329D"/>
    <w:rsid w:val="00593533"/>
    <w:rsid w:val="00594857"/>
    <w:rsid w:val="0059726B"/>
    <w:rsid w:val="00597CA2"/>
    <w:rsid w:val="005A0E33"/>
    <w:rsid w:val="005A18DF"/>
    <w:rsid w:val="005A33F5"/>
    <w:rsid w:val="005A412E"/>
    <w:rsid w:val="005A4562"/>
    <w:rsid w:val="005A48D2"/>
    <w:rsid w:val="005A570E"/>
    <w:rsid w:val="005A62B3"/>
    <w:rsid w:val="005B07E3"/>
    <w:rsid w:val="005B160D"/>
    <w:rsid w:val="005B16CA"/>
    <w:rsid w:val="005B2253"/>
    <w:rsid w:val="005B4C5A"/>
    <w:rsid w:val="005B54E4"/>
    <w:rsid w:val="005C0458"/>
    <w:rsid w:val="005C0805"/>
    <w:rsid w:val="005C0EAD"/>
    <w:rsid w:val="005C18B0"/>
    <w:rsid w:val="005C56B0"/>
    <w:rsid w:val="005C5D10"/>
    <w:rsid w:val="005C69C7"/>
    <w:rsid w:val="005C6E58"/>
    <w:rsid w:val="005C776C"/>
    <w:rsid w:val="005C7986"/>
    <w:rsid w:val="005C7DE8"/>
    <w:rsid w:val="005D0569"/>
    <w:rsid w:val="005D1869"/>
    <w:rsid w:val="005D24E2"/>
    <w:rsid w:val="005D2F9A"/>
    <w:rsid w:val="005D3794"/>
    <w:rsid w:val="005D427C"/>
    <w:rsid w:val="005D4CC1"/>
    <w:rsid w:val="005D5F25"/>
    <w:rsid w:val="005D6915"/>
    <w:rsid w:val="005E03BB"/>
    <w:rsid w:val="005E33CD"/>
    <w:rsid w:val="005E36B0"/>
    <w:rsid w:val="005E55BB"/>
    <w:rsid w:val="005E5B72"/>
    <w:rsid w:val="005F0F0E"/>
    <w:rsid w:val="005F3822"/>
    <w:rsid w:val="005F455A"/>
    <w:rsid w:val="005F4C8E"/>
    <w:rsid w:val="005F4D1F"/>
    <w:rsid w:val="005F5C7D"/>
    <w:rsid w:val="005F7AA2"/>
    <w:rsid w:val="006008EE"/>
    <w:rsid w:val="00601406"/>
    <w:rsid w:val="0060290C"/>
    <w:rsid w:val="00603AD2"/>
    <w:rsid w:val="00603C8E"/>
    <w:rsid w:val="00605AAB"/>
    <w:rsid w:val="006078A3"/>
    <w:rsid w:val="00607D0D"/>
    <w:rsid w:val="00610189"/>
    <w:rsid w:val="00610990"/>
    <w:rsid w:val="00611109"/>
    <w:rsid w:val="006120C0"/>
    <w:rsid w:val="00612C95"/>
    <w:rsid w:val="00613313"/>
    <w:rsid w:val="006134F7"/>
    <w:rsid w:val="0061431D"/>
    <w:rsid w:val="00616BF8"/>
    <w:rsid w:val="00616DEF"/>
    <w:rsid w:val="00616EFA"/>
    <w:rsid w:val="00617001"/>
    <w:rsid w:val="0061708F"/>
    <w:rsid w:val="006172F1"/>
    <w:rsid w:val="00617337"/>
    <w:rsid w:val="00620E08"/>
    <w:rsid w:val="00620E9A"/>
    <w:rsid w:val="00622976"/>
    <w:rsid w:val="00623084"/>
    <w:rsid w:val="006265FC"/>
    <w:rsid w:val="00630D34"/>
    <w:rsid w:val="0063368E"/>
    <w:rsid w:val="00634622"/>
    <w:rsid w:val="006372AF"/>
    <w:rsid w:val="0064144D"/>
    <w:rsid w:val="00641CCF"/>
    <w:rsid w:val="00646743"/>
    <w:rsid w:val="00646793"/>
    <w:rsid w:val="00646874"/>
    <w:rsid w:val="006526E3"/>
    <w:rsid w:val="00652C9C"/>
    <w:rsid w:val="00654C92"/>
    <w:rsid w:val="006553B2"/>
    <w:rsid w:val="00661375"/>
    <w:rsid w:val="00663A09"/>
    <w:rsid w:val="00664388"/>
    <w:rsid w:val="00664AC0"/>
    <w:rsid w:val="00664E76"/>
    <w:rsid w:val="006655EA"/>
    <w:rsid w:val="006659F0"/>
    <w:rsid w:val="0066641B"/>
    <w:rsid w:val="00667422"/>
    <w:rsid w:val="00667C84"/>
    <w:rsid w:val="006715D5"/>
    <w:rsid w:val="00672442"/>
    <w:rsid w:val="00673395"/>
    <w:rsid w:val="006735A5"/>
    <w:rsid w:val="00675284"/>
    <w:rsid w:val="006753D2"/>
    <w:rsid w:val="006762D8"/>
    <w:rsid w:val="00677C0A"/>
    <w:rsid w:val="00677CB9"/>
    <w:rsid w:val="00680EE5"/>
    <w:rsid w:val="00682DF5"/>
    <w:rsid w:val="00684461"/>
    <w:rsid w:val="00684DEF"/>
    <w:rsid w:val="0068585C"/>
    <w:rsid w:val="006870F7"/>
    <w:rsid w:val="00690C16"/>
    <w:rsid w:val="0069184E"/>
    <w:rsid w:val="00693035"/>
    <w:rsid w:val="00696A44"/>
    <w:rsid w:val="00697134"/>
    <w:rsid w:val="00697F5B"/>
    <w:rsid w:val="006A0A41"/>
    <w:rsid w:val="006A2967"/>
    <w:rsid w:val="006A2D84"/>
    <w:rsid w:val="006A4D35"/>
    <w:rsid w:val="006A5AEB"/>
    <w:rsid w:val="006A6391"/>
    <w:rsid w:val="006A7C84"/>
    <w:rsid w:val="006B2F29"/>
    <w:rsid w:val="006B3C12"/>
    <w:rsid w:val="006B44AE"/>
    <w:rsid w:val="006B46AB"/>
    <w:rsid w:val="006B4DE8"/>
    <w:rsid w:val="006B4E00"/>
    <w:rsid w:val="006B56C1"/>
    <w:rsid w:val="006B64FE"/>
    <w:rsid w:val="006B7ED9"/>
    <w:rsid w:val="006C201A"/>
    <w:rsid w:val="006C3578"/>
    <w:rsid w:val="006C3CD8"/>
    <w:rsid w:val="006C469E"/>
    <w:rsid w:val="006C4B61"/>
    <w:rsid w:val="006C62B6"/>
    <w:rsid w:val="006C67AE"/>
    <w:rsid w:val="006C7839"/>
    <w:rsid w:val="006D01DD"/>
    <w:rsid w:val="006D1559"/>
    <w:rsid w:val="006D3197"/>
    <w:rsid w:val="006D40CD"/>
    <w:rsid w:val="006D697A"/>
    <w:rsid w:val="006D7918"/>
    <w:rsid w:val="006D7EC0"/>
    <w:rsid w:val="006E0587"/>
    <w:rsid w:val="006E1028"/>
    <w:rsid w:val="006E10D7"/>
    <w:rsid w:val="006E150D"/>
    <w:rsid w:val="006E1EAC"/>
    <w:rsid w:val="006E3A10"/>
    <w:rsid w:val="006E41CA"/>
    <w:rsid w:val="006E52A9"/>
    <w:rsid w:val="006E60B5"/>
    <w:rsid w:val="006E63E1"/>
    <w:rsid w:val="006E63EC"/>
    <w:rsid w:val="006E6B5D"/>
    <w:rsid w:val="006E7016"/>
    <w:rsid w:val="006F3B0C"/>
    <w:rsid w:val="006F6DA9"/>
    <w:rsid w:val="007000B2"/>
    <w:rsid w:val="0070218F"/>
    <w:rsid w:val="007027DD"/>
    <w:rsid w:val="00703A10"/>
    <w:rsid w:val="00704F34"/>
    <w:rsid w:val="00705700"/>
    <w:rsid w:val="00706E19"/>
    <w:rsid w:val="0071041A"/>
    <w:rsid w:val="0071043E"/>
    <w:rsid w:val="00711490"/>
    <w:rsid w:val="007115FA"/>
    <w:rsid w:val="00711BB8"/>
    <w:rsid w:val="00711DFF"/>
    <w:rsid w:val="00721FF5"/>
    <w:rsid w:val="00723E6C"/>
    <w:rsid w:val="00725BFB"/>
    <w:rsid w:val="007263E3"/>
    <w:rsid w:val="00726FDD"/>
    <w:rsid w:val="00731B3F"/>
    <w:rsid w:val="00731F40"/>
    <w:rsid w:val="0073439A"/>
    <w:rsid w:val="00734546"/>
    <w:rsid w:val="007351EE"/>
    <w:rsid w:val="00736374"/>
    <w:rsid w:val="00741B7B"/>
    <w:rsid w:val="007428F7"/>
    <w:rsid w:val="007434EE"/>
    <w:rsid w:val="00744E43"/>
    <w:rsid w:val="007473D3"/>
    <w:rsid w:val="007501DA"/>
    <w:rsid w:val="00750969"/>
    <w:rsid w:val="00750FFD"/>
    <w:rsid w:val="0075104E"/>
    <w:rsid w:val="007527E9"/>
    <w:rsid w:val="0075341E"/>
    <w:rsid w:val="00754C4D"/>
    <w:rsid w:val="00754FE1"/>
    <w:rsid w:val="00757F17"/>
    <w:rsid w:val="00761932"/>
    <w:rsid w:val="00763E7A"/>
    <w:rsid w:val="00764438"/>
    <w:rsid w:val="00764815"/>
    <w:rsid w:val="0076577E"/>
    <w:rsid w:val="00766F41"/>
    <w:rsid w:val="007672DC"/>
    <w:rsid w:val="00767F16"/>
    <w:rsid w:val="00770870"/>
    <w:rsid w:val="00772AA6"/>
    <w:rsid w:val="00772BBB"/>
    <w:rsid w:val="00773879"/>
    <w:rsid w:val="007744AF"/>
    <w:rsid w:val="0077555A"/>
    <w:rsid w:val="0077638F"/>
    <w:rsid w:val="00776691"/>
    <w:rsid w:val="00777F2F"/>
    <w:rsid w:val="007821E9"/>
    <w:rsid w:val="007842DC"/>
    <w:rsid w:val="00785CC3"/>
    <w:rsid w:val="0078724D"/>
    <w:rsid w:val="007906B4"/>
    <w:rsid w:val="00790CBD"/>
    <w:rsid w:val="00791F8F"/>
    <w:rsid w:val="007925B0"/>
    <w:rsid w:val="0079578E"/>
    <w:rsid w:val="00795C87"/>
    <w:rsid w:val="00797CC6"/>
    <w:rsid w:val="007A3E21"/>
    <w:rsid w:val="007A4051"/>
    <w:rsid w:val="007A4312"/>
    <w:rsid w:val="007A5C3A"/>
    <w:rsid w:val="007A74B8"/>
    <w:rsid w:val="007B0CC3"/>
    <w:rsid w:val="007B11ED"/>
    <w:rsid w:val="007B2E2F"/>
    <w:rsid w:val="007B373E"/>
    <w:rsid w:val="007B4976"/>
    <w:rsid w:val="007B60DC"/>
    <w:rsid w:val="007B78ED"/>
    <w:rsid w:val="007C0564"/>
    <w:rsid w:val="007C10B0"/>
    <w:rsid w:val="007C1A1F"/>
    <w:rsid w:val="007C1BA1"/>
    <w:rsid w:val="007C29BD"/>
    <w:rsid w:val="007C3535"/>
    <w:rsid w:val="007C3645"/>
    <w:rsid w:val="007C369F"/>
    <w:rsid w:val="007C3A43"/>
    <w:rsid w:val="007C3EC3"/>
    <w:rsid w:val="007C5BC3"/>
    <w:rsid w:val="007C681F"/>
    <w:rsid w:val="007D00D5"/>
    <w:rsid w:val="007D13D4"/>
    <w:rsid w:val="007D18A3"/>
    <w:rsid w:val="007D1CFA"/>
    <w:rsid w:val="007D3B24"/>
    <w:rsid w:val="007D4570"/>
    <w:rsid w:val="007D47BE"/>
    <w:rsid w:val="007D49AB"/>
    <w:rsid w:val="007D50C3"/>
    <w:rsid w:val="007D580A"/>
    <w:rsid w:val="007D5DC7"/>
    <w:rsid w:val="007D6277"/>
    <w:rsid w:val="007D62B9"/>
    <w:rsid w:val="007D6A0D"/>
    <w:rsid w:val="007D76F0"/>
    <w:rsid w:val="007E3A5D"/>
    <w:rsid w:val="007E4271"/>
    <w:rsid w:val="007E4FA7"/>
    <w:rsid w:val="007E4FB6"/>
    <w:rsid w:val="007E51D8"/>
    <w:rsid w:val="007E5813"/>
    <w:rsid w:val="007E65A9"/>
    <w:rsid w:val="007F6AC8"/>
    <w:rsid w:val="007F6E74"/>
    <w:rsid w:val="007F79C1"/>
    <w:rsid w:val="0080114E"/>
    <w:rsid w:val="00801BBD"/>
    <w:rsid w:val="008026AD"/>
    <w:rsid w:val="00802C74"/>
    <w:rsid w:val="00802FDD"/>
    <w:rsid w:val="00803130"/>
    <w:rsid w:val="00803CE3"/>
    <w:rsid w:val="00803E40"/>
    <w:rsid w:val="0080517D"/>
    <w:rsid w:val="008055FF"/>
    <w:rsid w:val="0080632C"/>
    <w:rsid w:val="00806DEF"/>
    <w:rsid w:val="008075C8"/>
    <w:rsid w:val="00807B17"/>
    <w:rsid w:val="008147BB"/>
    <w:rsid w:val="00815386"/>
    <w:rsid w:val="00815695"/>
    <w:rsid w:val="00815B3A"/>
    <w:rsid w:val="00815D9D"/>
    <w:rsid w:val="00816730"/>
    <w:rsid w:val="00816934"/>
    <w:rsid w:val="00820414"/>
    <w:rsid w:val="0082043B"/>
    <w:rsid w:val="0082076B"/>
    <w:rsid w:val="00820C22"/>
    <w:rsid w:val="00821E7B"/>
    <w:rsid w:val="008238CC"/>
    <w:rsid w:val="008250D5"/>
    <w:rsid w:val="0083093A"/>
    <w:rsid w:val="0083142B"/>
    <w:rsid w:val="00831DDA"/>
    <w:rsid w:val="00833482"/>
    <w:rsid w:val="008335A6"/>
    <w:rsid w:val="00834CCB"/>
    <w:rsid w:val="008354CC"/>
    <w:rsid w:val="00835947"/>
    <w:rsid w:val="00835DC2"/>
    <w:rsid w:val="00836A78"/>
    <w:rsid w:val="00836F9B"/>
    <w:rsid w:val="00837D09"/>
    <w:rsid w:val="008409F9"/>
    <w:rsid w:val="00842590"/>
    <w:rsid w:val="008433E7"/>
    <w:rsid w:val="0084487C"/>
    <w:rsid w:val="008448D6"/>
    <w:rsid w:val="00844F5F"/>
    <w:rsid w:val="00850A3B"/>
    <w:rsid w:val="00850F45"/>
    <w:rsid w:val="00851B54"/>
    <w:rsid w:val="00852638"/>
    <w:rsid w:val="00852C02"/>
    <w:rsid w:val="00852FDB"/>
    <w:rsid w:val="008538A5"/>
    <w:rsid w:val="00854BB1"/>
    <w:rsid w:val="008557E0"/>
    <w:rsid w:val="00855E85"/>
    <w:rsid w:val="00856C8E"/>
    <w:rsid w:val="00857078"/>
    <w:rsid w:val="008575F0"/>
    <w:rsid w:val="00857608"/>
    <w:rsid w:val="0086090F"/>
    <w:rsid w:val="00860A9D"/>
    <w:rsid w:val="0086361E"/>
    <w:rsid w:val="00863939"/>
    <w:rsid w:val="008642B8"/>
    <w:rsid w:val="00866166"/>
    <w:rsid w:val="00866B20"/>
    <w:rsid w:val="00866B65"/>
    <w:rsid w:val="00866BEF"/>
    <w:rsid w:val="008670B4"/>
    <w:rsid w:val="00871A64"/>
    <w:rsid w:val="008724A8"/>
    <w:rsid w:val="00873ED9"/>
    <w:rsid w:val="008753C0"/>
    <w:rsid w:val="00877A41"/>
    <w:rsid w:val="00882FDF"/>
    <w:rsid w:val="00883B2E"/>
    <w:rsid w:val="008907D0"/>
    <w:rsid w:val="00891F07"/>
    <w:rsid w:val="008951CA"/>
    <w:rsid w:val="00896157"/>
    <w:rsid w:val="008961AE"/>
    <w:rsid w:val="008A06FF"/>
    <w:rsid w:val="008A0939"/>
    <w:rsid w:val="008A0A37"/>
    <w:rsid w:val="008A0E43"/>
    <w:rsid w:val="008A146C"/>
    <w:rsid w:val="008A17BF"/>
    <w:rsid w:val="008A332E"/>
    <w:rsid w:val="008A411E"/>
    <w:rsid w:val="008A4FB6"/>
    <w:rsid w:val="008A69F5"/>
    <w:rsid w:val="008B0B92"/>
    <w:rsid w:val="008B0EAA"/>
    <w:rsid w:val="008B1A8E"/>
    <w:rsid w:val="008B2C42"/>
    <w:rsid w:val="008B317D"/>
    <w:rsid w:val="008B32C1"/>
    <w:rsid w:val="008B3592"/>
    <w:rsid w:val="008B37E4"/>
    <w:rsid w:val="008B4398"/>
    <w:rsid w:val="008B6344"/>
    <w:rsid w:val="008B7139"/>
    <w:rsid w:val="008B7422"/>
    <w:rsid w:val="008C0DEF"/>
    <w:rsid w:val="008C2F86"/>
    <w:rsid w:val="008C3A63"/>
    <w:rsid w:val="008C4150"/>
    <w:rsid w:val="008C6BEC"/>
    <w:rsid w:val="008C6C4A"/>
    <w:rsid w:val="008D2409"/>
    <w:rsid w:val="008D2AA3"/>
    <w:rsid w:val="008D4D80"/>
    <w:rsid w:val="008D54DA"/>
    <w:rsid w:val="008D6797"/>
    <w:rsid w:val="008E0965"/>
    <w:rsid w:val="008E0CD1"/>
    <w:rsid w:val="008E1055"/>
    <w:rsid w:val="008E1426"/>
    <w:rsid w:val="008E2379"/>
    <w:rsid w:val="008E3732"/>
    <w:rsid w:val="008E37C4"/>
    <w:rsid w:val="008E3974"/>
    <w:rsid w:val="008E4B88"/>
    <w:rsid w:val="008E7139"/>
    <w:rsid w:val="008E732F"/>
    <w:rsid w:val="008F0907"/>
    <w:rsid w:val="008F3C32"/>
    <w:rsid w:val="008F4AD1"/>
    <w:rsid w:val="008F4C78"/>
    <w:rsid w:val="008F4CA5"/>
    <w:rsid w:val="008F596F"/>
    <w:rsid w:val="008F5A9E"/>
    <w:rsid w:val="00902054"/>
    <w:rsid w:val="00904021"/>
    <w:rsid w:val="00905AB3"/>
    <w:rsid w:val="009064D1"/>
    <w:rsid w:val="009065A0"/>
    <w:rsid w:val="0091090B"/>
    <w:rsid w:val="00912B75"/>
    <w:rsid w:val="00913C21"/>
    <w:rsid w:val="009140FF"/>
    <w:rsid w:val="0091532C"/>
    <w:rsid w:val="00915376"/>
    <w:rsid w:val="00915502"/>
    <w:rsid w:val="00915810"/>
    <w:rsid w:val="00920673"/>
    <w:rsid w:val="00920DB5"/>
    <w:rsid w:val="00922782"/>
    <w:rsid w:val="009229B2"/>
    <w:rsid w:val="0092684D"/>
    <w:rsid w:val="009306C3"/>
    <w:rsid w:val="00930D37"/>
    <w:rsid w:val="00930F34"/>
    <w:rsid w:val="00932E34"/>
    <w:rsid w:val="009334C7"/>
    <w:rsid w:val="00934986"/>
    <w:rsid w:val="00936C40"/>
    <w:rsid w:val="00941792"/>
    <w:rsid w:val="00942668"/>
    <w:rsid w:val="00942689"/>
    <w:rsid w:val="00942C73"/>
    <w:rsid w:val="00944376"/>
    <w:rsid w:val="00944CAC"/>
    <w:rsid w:val="0094507C"/>
    <w:rsid w:val="009464BF"/>
    <w:rsid w:val="00946AFD"/>
    <w:rsid w:val="00947C3A"/>
    <w:rsid w:val="00951565"/>
    <w:rsid w:val="00952E7F"/>
    <w:rsid w:val="009533CF"/>
    <w:rsid w:val="00953891"/>
    <w:rsid w:val="00953934"/>
    <w:rsid w:val="009571E4"/>
    <w:rsid w:val="0095762D"/>
    <w:rsid w:val="00960558"/>
    <w:rsid w:val="00960B01"/>
    <w:rsid w:val="00963C5B"/>
    <w:rsid w:val="009644D1"/>
    <w:rsid w:val="00964668"/>
    <w:rsid w:val="00970358"/>
    <w:rsid w:val="00973702"/>
    <w:rsid w:val="009744E5"/>
    <w:rsid w:val="009746F5"/>
    <w:rsid w:val="00974C28"/>
    <w:rsid w:val="009752CF"/>
    <w:rsid w:val="00976A65"/>
    <w:rsid w:val="009776C0"/>
    <w:rsid w:val="00977CB6"/>
    <w:rsid w:val="0098320B"/>
    <w:rsid w:val="0098543C"/>
    <w:rsid w:val="00987ABD"/>
    <w:rsid w:val="009935C5"/>
    <w:rsid w:val="00993F5B"/>
    <w:rsid w:val="009953F5"/>
    <w:rsid w:val="009974F9"/>
    <w:rsid w:val="009A104C"/>
    <w:rsid w:val="009A1199"/>
    <w:rsid w:val="009A2EEF"/>
    <w:rsid w:val="009A42A9"/>
    <w:rsid w:val="009A4C46"/>
    <w:rsid w:val="009A5464"/>
    <w:rsid w:val="009A6450"/>
    <w:rsid w:val="009A6F83"/>
    <w:rsid w:val="009B1682"/>
    <w:rsid w:val="009B3BA1"/>
    <w:rsid w:val="009B48EA"/>
    <w:rsid w:val="009B503C"/>
    <w:rsid w:val="009B623D"/>
    <w:rsid w:val="009B7214"/>
    <w:rsid w:val="009C0B7B"/>
    <w:rsid w:val="009C265A"/>
    <w:rsid w:val="009C3BBD"/>
    <w:rsid w:val="009C475A"/>
    <w:rsid w:val="009C479F"/>
    <w:rsid w:val="009C5039"/>
    <w:rsid w:val="009C5F85"/>
    <w:rsid w:val="009C7208"/>
    <w:rsid w:val="009C7674"/>
    <w:rsid w:val="009C7F7E"/>
    <w:rsid w:val="009D0FFD"/>
    <w:rsid w:val="009D1954"/>
    <w:rsid w:val="009D40E2"/>
    <w:rsid w:val="009D41C0"/>
    <w:rsid w:val="009D4525"/>
    <w:rsid w:val="009D7A25"/>
    <w:rsid w:val="009E1E4C"/>
    <w:rsid w:val="009E29C5"/>
    <w:rsid w:val="009E2F3D"/>
    <w:rsid w:val="009E3162"/>
    <w:rsid w:val="009E461F"/>
    <w:rsid w:val="009E5125"/>
    <w:rsid w:val="009E6A6E"/>
    <w:rsid w:val="009E7E7B"/>
    <w:rsid w:val="009F15F8"/>
    <w:rsid w:val="009F1690"/>
    <w:rsid w:val="009F3173"/>
    <w:rsid w:val="009F361C"/>
    <w:rsid w:val="009F57AA"/>
    <w:rsid w:val="009F733E"/>
    <w:rsid w:val="00A00AFB"/>
    <w:rsid w:val="00A02707"/>
    <w:rsid w:val="00A03AD1"/>
    <w:rsid w:val="00A05B6E"/>
    <w:rsid w:val="00A05C7A"/>
    <w:rsid w:val="00A05C8E"/>
    <w:rsid w:val="00A079BB"/>
    <w:rsid w:val="00A07EAA"/>
    <w:rsid w:val="00A1024B"/>
    <w:rsid w:val="00A11090"/>
    <w:rsid w:val="00A11B29"/>
    <w:rsid w:val="00A1254F"/>
    <w:rsid w:val="00A125E0"/>
    <w:rsid w:val="00A12684"/>
    <w:rsid w:val="00A12854"/>
    <w:rsid w:val="00A12DE7"/>
    <w:rsid w:val="00A12FB6"/>
    <w:rsid w:val="00A139B1"/>
    <w:rsid w:val="00A176C4"/>
    <w:rsid w:val="00A17A68"/>
    <w:rsid w:val="00A17E0F"/>
    <w:rsid w:val="00A20CC1"/>
    <w:rsid w:val="00A23553"/>
    <w:rsid w:val="00A24311"/>
    <w:rsid w:val="00A243CD"/>
    <w:rsid w:val="00A2458B"/>
    <w:rsid w:val="00A24D27"/>
    <w:rsid w:val="00A271FC"/>
    <w:rsid w:val="00A325B1"/>
    <w:rsid w:val="00A32CEB"/>
    <w:rsid w:val="00A3468E"/>
    <w:rsid w:val="00A361EB"/>
    <w:rsid w:val="00A36413"/>
    <w:rsid w:val="00A366C8"/>
    <w:rsid w:val="00A36A19"/>
    <w:rsid w:val="00A376A2"/>
    <w:rsid w:val="00A40170"/>
    <w:rsid w:val="00A401B5"/>
    <w:rsid w:val="00A40693"/>
    <w:rsid w:val="00A42230"/>
    <w:rsid w:val="00A43711"/>
    <w:rsid w:val="00A43F09"/>
    <w:rsid w:val="00A43FCE"/>
    <w:rsid w:val="00A44A89"/>
    <w:rsid w:val="00A4517D"/>
    <w:rsid w:val="00A45FFE"/>
    <w:rsid w:val="00A46FB8"/>
    <w:rsid w:val="00A47DFF"/>
    <w:rsid w:val="00A53267"/>
    <w:rsid w:val="00A53391"/>
    <w:rsid w:val="00A55AFE"/>
    <w:rsid w:val="00A56529"/>
    <w:rsid w:val="00A57BE7"/>
    <w:rsid w:val="00A57FAC"/>
    <w:rsid w:val="00A64690"/>
    <w:rsid w:val="00A6492F"/>
    <w:rsid w:val="00A657C6"/>
    <w:rsid w:val="00A67B19"/>
    <w:rsid w:val="00A73EC8"/>
    <w:rsid w:val="00A74B8E"/>
    <w:rsid w:val="00A75258"/>
    <w:rsid w:val="00A769DC"/>
    <w:rsid w:val="00A76DA0"/>
    <w:rsid w:val="00A777C3"/>
    <w:rsid w:val="00A77CE6"/>
    <w:rsid w:val="00A80BD5"/>
    <w:rsid w:val="00A81090"/>
    <w:rsid w:val="00A816A0"/>
    <w:rsid w:val="00A82705"/>
    <w:rsid w:val="00A83649"/>
    <w:rsid w:val="00A852E7"/>
    <w:rsid w:val="00A8560E"/>
    <w:rsid w:val="00A860C6"/>
    <w:rsid w:val="00A86340"/>
    <w:rsid w:val="00A9036C"/>
    <w:rsid w:val="00A904AE"/>
    <w:rsid w:val="00A9176F"/>
    <w:rsid w:val="00A9337A"/>
    <w:rsid w:val="00A94BEB"/>
    <w:rsid w:val="00A95C8E"/>
    <w:rsid w:val="00A97C2E"/>
    <w:rsid w:val="00AA06A5"/>
    <w:rsid w:val="00AA1040"/>
    <w:rsid w:val="00AA1048"/>
    <w:rsid w:val="00AA1A29"/>
    <w:rsid w:val="00AA7AA7"/>
    <w:rsid w:val="00AB1240"/>
    <w:rsid w:val="00AB1E59"/>
    <w:rsid w:val="00AB36CE"/>
    <w:rsid w:val="00AB4B7E"/>
    <w:rsid w:val="00AB735B"/>
    <w:rsid w:val="00AB789C"/>
    <w:rsid w:val="00AC0495"/>
    <w:rsid w:val="00AC1790"/>
    <w:rsid w:val="00AC2B41"/>
    <w:rsid w:val="00AC334E"/>
    <w:rsid w:val="00AC3A7B"/>
    <w:rsid w:val="00AD0647"/>
    <w:rsid w:val="00AD23B1"/>
    <w:rsid w:val="00AD25BB"/>
    <w:rsid w:val="00AD26F2"/>
    <w:rsid w:val="00AD2F90"/>
    <w:rsid w:val="00AD423C"/>
    <w:rsid w:val="00AD463F"/>
    <w:rsid w:val="00AD4B62"/>
    <w:rsid w:val="00AD5D62"/>
    <w:rsid w:val="00AD60CD"/>
    <w:rsid w:val="00AE155A"/>
    <w:rsid w:val="00AE33DF"/>
    <w:rsid w:val="00AE38B8"/>
    <w:rsid w:val="00AE6B43"/>
    <w:rsid w:val="00AF0DFA"/>
    <w:rsid w:val="00AF21DA"/>
    <w:rsid w:val="00AF3C64"/>
    <w:rsid w:val="00AF5268"/>
    <w:rsid w:val="00AF5CA2"/>
    <w:rsid w:val="00AF609F"/>
    <w:rsid w:val="00AF68BD"/>
    <w:rsid w:val="00AF6A59"/>
    <w:rsid w:val="00AF79AC"/>
    <w:rsid w:val="00B022A8"/>
    <w:rsid w:val="00B02512"/>
    <w:rsid w:val="00B026F5"/>
    <w:rsid w:val="00B031A7"/>
    <w:rsid w:val="00B03E0E"/>
    <w:rsid w:val="00B049CF"/>
    <w:rsid w:val="00B05355"/>
    <w:rsid w:val="00B078C1"/>
    <w:rsid w:val="00B107B3"/>
    <w:rsid w:val="00B1101D"/>
    <w:rsid w:val="00B125EC"/>
    <w:rsid w:val="00B13B83"/>
    <w:rsid w:val="00B13D27"/>
    <w:rsid w:val="00B14171"/>
    <w:rsid w:val="00B15171"/>
    <w:rsid w:val="00B1521F"/>
    <w:rsid w:val="00B155BE"/>
    <w:rsid w:val="00B1686D"/>
    <w:rsid w:val="00B179BF"/>
    <w:rsid w:val="00B17DFA"/>
    <w:rsid w:val="00B20DBF"/>
    <w:rsid w:val="00B20DDA"/>
    <w:rsid w:val="00B212F8"/>
    <w:rsid w:val="00B21A64"/>
    <w:rsid w:val="00B24AB2"/>
    <w:rsid w:val="00B25D2B"/>
    <w:rsid w:val="00B25F1A"/>
    <w:rsid w:val="00B26EB4"/>
    <w:rsid w:val="00B303C5"/>
    <w:rsid w:val="00B317CB"/>
    <w:rsid w:val="00B33698"/>
    <w:rsid w:val="00B34284"/>
    <w:rsid w:val="00B36233"/>
    <w:rsid w:val="00B366D2"/>
    <w:rsid w:val="00B36DFD"/>
    <w:rsid w:val="00B36E68"/>
    <w:rsid w:val="00B374D7"/>
    <w:rsid w:val="00B37B59"/>
    <w:rsid w:val="00B4116B"/>
    <w:rsid w:val="00B42A6D"/>
    <w:rsid w:val="00B43196"/>
    <w:rsid w:val="00B43EE4"/>
    <w:rsid w:val="00B450E6"/>
    <w:rsid w:val="00B45771"/>
    <w:rsid w:val="00B479C8"/>
    <w:rsid w:val="00B47CC5"/>
    <w:rsid w:val="00B47F08"/>
    <w:rsid w:val="00B50AD0"/>
    <w:rsid w:val="00B51C4D"/>
    <w:rsid w:val="00B52C8B"/>
    <w:rsid w:val="00B535E0"/>
    <w:rsid w:val="00B54589"/>
    <w:rsid w:val="00B5631B"/>
    <w:rsid w:val="00B57562"/>
    <w:rsid w:val="00B6025D"/>
    <w:rsid w:val="00B62B1F"/>
    <w:rsid w:val="00B63131"/>
    <w:rsid w:val="00B633DF"/>
    <w:rsid w:val="00B65C00"/>
    <w:rsid w:val="00B66683"/>
    <w:rsid w:val="00B70216"/>
    <w:rsid w:val="00B7062B"/>
    <w:rsid w:val="00B720AF"/>
    <w:rsid w:val="00B72DEE"/>
    <w:rsid w:val="00B743F6"/>
    <w:rsid w:val="00B758A5"/>
    <w:rsid w:val="00B77235"/>
    <w:rsid w:val="00B775A6"/>
    <w:rsid w:val="00B817E7"/>
    <w:rsid w:val="00B81C74"/>
    <w:rsid w:val="00B83845"/>
    <w:rsid w:val="00B8472D"/>
    <w:rsid w:val="00B85DDC"/>
    <w:rsid w:val="00B922FD"/>
    <w:rsid w:val="00B92FD5"/>
    <w:rsid w:val="00B9319E"/>
    <w:rsid w:val="00B935B0"/>
    <w:rsid w:val="00B93B0B"/>
    <w:rsid w:val="00B940BC"/>
    <w:rsid w:val="00B94BFA"/>
    <w:rsid w:val="00B94D59"/>
    <w:rsid w:val="00B955D8"/>
    <w:rsid w:val="00B96364"/>
    <w:rsid w:val="00B97240"/>
    <w:rsid w:val="00BA2580"/>
    <w:rsid w:val="00BA4207"/>
    <w:rsid w:val="00BA45E3"/>
    <w:rsid w:val="00BA68AC"/>
    <w:rsid w:val="00BB1B29"/>
    <w:rsid w:val="00BB1DFC"/>
    <w:rsid w:val="00BB3EDF"/>
    <w:rsid w:val="00BB4759"/>
    <w:rsid w:val="00BC1BD1"/>
    <w:rsid w:val="00BC3A68"/>
    <w:rsid w:val="00BC4EF2"/>
    <w:rsid w:val="00BC6C28"/>
    <w:rsid w:val="00BC76D7"/>
    <w:rsid w:val="00BC7C69"/>
    <w:rsid w:val="00BD0182"/>
    <w:rsid w:val="00BD35EF"/>
    <w:rsid w:val="00BD6FCD"/>
    <w:rsid w:val="00BD749E"/>
    <w:rsid w:val="00BE0F1B"/>
    <w:rsid w:val="00BE14EB"/>
    <w:rsid w:val="00BE15F5"/>
    <w:rsid w:val="00BE1E3C"/>
    <w:rsid w:val="00BE261C"/>
    <w:rsid w:val="00BE2F37"/>
    <w:rsid w:val="00BE3A99"/>
    <w:rsid w:val="00BE42EB"/>
    <w:rsid w:val="00BE5B02"/>
    <w:rsid w:val="00BE600D"/>
    <w:rsid w:val="00BF05F2"/>
    <w:rsid w:val="00BF06FE"/>
    <w:rsid w:val="00BF086B"/>
    <w:rsid w:val="00BF1943"/>
    <w:rsid w:val="00BF2080"/>
    <w:rsid w:val="00BF25D3"/>
    <w:rsid w:val="00BF40FF"/>
    <w:rsid w:val="00C00F55"/>
    <w:rsid w:val="00C042ED"/>
    <w:rsid w:val="00C050FE"/>
    <w:rsid w:val="00C05EED"/>
    <w:rsid w:val="00C07603"/>
    <w:rsid w:val="00C125E5"/>
    <w:rsid w:val="00C14835"/>
    <w:rsid w:val="00C15134"/>
    <w:rsid w:val="00C15C6E"/>
    <w:rsid w:val="00C17845"/>
    <w:rsid w:val="00C2183D"/>
    <w:rsid w:val="00C21CAE"/>
    <w:rsid w:val="00C22350"/>
    <w:rsid w:val="00C22610"/>
    <w:rsid w:val="00C273E7"/>
    <w:rsid w:val="00C30752"/>
    <w:rsid w:val="00C326BD"/>
    <w:rsid w:val="00C33A13"/>
    <w:rsid w:val="00C33E87"/>
    <w:rsid w:val="00C3508B"/>
    <w:rsid w:val="00C372A6"/>
    <w:rsid w:val="00C3747E"/>
    <w:rsid w:val="00C405BA"/>
    <w:rsid w:val="00C43013"/>
    <w:rsid w:val="00C43099"/>
    <w:rsid w:val="00C43938"/>
    <w:rsid w:val="00C452B6"/>
    <w:rsid w:val="00C503C3"/>
    <w:rsid w:val="00C51C4D"/>
    <w:rsid w:val="00C55DC7"/>
    <w:rsid w:val="00C56D79"/>
    <w:rsid w:val="00C571FE"/>
    <w:rsid w:val="00C572AC"/>
    <w:rsid w:val="00C57B76"/>
    <w:rsid w:val="00C6244F"/>
    <w:rsid w:val="00C628E1"/>
    <w:rsid w:val="00C62CB8"/>
    <w:rsid w:val="00C63630"/>
    <w:rsid w:val="00C6397A"/>
    <w:rsid w:val="00C63B08"/>
    <w:rsid w:val="00C706CA"/>
    <w:rsid w:val="00C72487"/>
    <w:rsid w:val="00C72D48"/>
    <w:rsid w:val="00C73715"/>
    <w:rsid w:val="00C744DA"/>
    <w:rsid w:val="00C74EC9"/>
    <w:rsid w:val="00C75573"/>
    <w:rsid w:val="00C75A14"/>
    <w:rsid w:val="00C76731"/>
    <w:rsid w:val="00C80224"/>
    <w:rsid w:val="00C81F80"/>
    <w:rsid w:val="00C832AA"/>
    <w:rsid w:val="00C83FA0"/>
    <w:rsid w:val="00C84504"/>
    <w:rsid w:val="00C8458F"/>
    <w:rsid w:val="00C85C29"/>
    <w:rsid w:val="00C876C9"/>
    <w:rsid w:val="00C94F08"/>
    <w:rsid w:val="00C95603"/>
    <w:rsid w:val="00C960CF"/>
    <w:rsid w:val="00CA01FC"/>
    <w:rsid w:val="00CA381F"/>
    <w:rsid w:val="00CA3D54"/>
    <w:rsid w:val="00CA55F8"/>
    <w:rsid w:val="00CA6580"/>
    <w:rsid w:val="00CA6615"/>
    <w:rsid w:val="00CB03CA"/>
    <w:rsid w:val="00CB07EC"/>
    <w:rsid w:val="00CB2AB2"/>
    <w:rsid w:val="00CB2C1D"/>
    <w:rsid w:val="00CB2DBB"/>
    <w:rsid w:val="00CB442C"/>
    <w:rsid w:val="00CC0CB5"/>
    <w:rsid w:val="00CC1384"/>
    <w:rsid w:val="00CC214F"/>
    <w:rsid w:val="00CC341F"/>
    <w:rsid w:val="00CC4E0C"/>
    <w:rsid w:val="00CC4FD9"/>
    <w:rsid w:val="00CD2CA0"/>
    <w:rsid w:val="00CD4EA1"/>
    <w:rsid w:val="00CD4F23"/>
    <w:rsid w:val="00CD52C2"/>
    <w:rsid w:val="00CD62E7"/>
    <w:rsid w:val="00CD6B02"/>
    <w:rsid w:val="00CE0A88"/>
    <w:rsid w:val="00CE5353"/>
    <w:rsid w:val="00CE6243"/>
    <w:rsid w:val="00CE6D3F"/>
    <w:rsid w:val="00CE756B"/>
    <w:rsid w:val="00CF01D4"/>
    <w:rsid w:val="00CF3C6D"/>
    <w:rsid w:val="00CF7CA7"/>
    <w:rsid w:val="00D00918"/>
    <w:rsid w:val="00D03153"/>
    <w:rsid w:val="00D03EBC"/>
    <w:rsid w:val="00D0408A"/>
    <w:rsid w:val="00D04722"/>
    <w:rsid w:val="00D0567A"/>
    <w:rsid w:val="00D05F9F"/>
    <w:rsid w:val="00D1091D"/>
    <w:rsid w:val="00D10980"/>
    <w:rsid w:val="00D13E7F"/>
    <w:rsid w:val="00D15433"/>
    <w:rsid w:val="00D16318"/>
    <w:rsid w:val="00D1782E"/>
    <w:rsid w:val="00D209EC"/>
    <w:rsid w:val="00D20C0A"/>
    <w:rsid w:val="00D2259C"/>
    <w:rsid w:val="00D26230"/>
    <w:rsid w:val="00D26920"/>
    <w:rsid w:val="00D26B64"/>
    <w:rsid w:val="00D26C88"/>
    <w:rsid w:val="00D26CDA"/>
    <w:rsid w:val="00D270EB"/>
    <w:rsid w:val="00D2793E"/>
    <w:rsid w:val="00D31717"/>
    <w:rsid w:val="00D356CE"/>
    <w:rsid w:val="00D35D63"/>
    <w:rsid w:val="00D372E6"/>
    <w:rsid w:val="00D3754C"/>
    <w:rsid w:val="00D40889"/>
    <w:rsid w:val="00D43881"/>
    <w:rsid w:val="00D43F4F"/>
    <w:rsid w:val="00D44C8D"/>
    <w:rsid w:val="00D45487"/>
    <w:rsid w:val="00D46353"/>
    <w:rsid w:val="00D4640B"/>
    <w:rsid w:val="00D508A2"/>
    <w:rsid w:val="00D51994"/>
    <w:rsid w:val="00D52AC8"/>
    <w:rsid w:val="00D54020"/>
    <w:rsid w:val="00D542B9"/>
    <w:rsid w:val="00D54550"/>
    <w:rsid w:val="00D54A46"/>
    <w:rsid w:val="00D564BD"/>
    <w:rsid w:val="00D57D53"/>
    <w:rsid w:val="00D615DE"/>
    <w:rsid w:val="00D670DC"/>
    <w:rsid w:val="00D67EBD"/>
    <w:rsid w:val="00D71A58"/>
    <w:rsid w:val="00D72A10"/>
    <w:rsid w:val="00D7411E"/>
    <w:rsid w:val="00D76D29"/>
    <w:rsid w:val="00D76F53"/>
    <w:rsid w:val="00D77EF0"/>
    <w:rsid w:val="00D77FFA"/>
    <w:rsid w:val="00D84F7A"/>
    <w:rsid w:val="00D85EC6"/>
    <w:rsid w:val="00D85ECD"/>
    <w:rsid w:val="00D8624E"/>
    <w:rsid w:val="00D86AA3"/>
    <w:rsid w:val="00D86DA3"/>
    <w:rsid w:val="00D91217"/>
    <w:rsid w:val="00D9290F"/>
    <w:rsid w:val="00D96881"/>
    <w:rsid w:val="00D969D9"/>
    <w:rsid w:val="00D97CA7"/>
    <w:rsid w:val="00DA1B1B"/>
    <w:rsid w:val="00DA4E3A"/>
    <w:rsid w:val="00DA534C"/>
    <w:rsid w:val="00DA5FF5"/>
    <w:rsid w:val="00DA7BBF"/>
    <w:rsid w:val="00DB04EB"/>
    <w:rsid w:val="00DB0A3E"/>
    <w:rsid w:val="00DB1E28"/>
    <w:rsid w:val="00DB207C"/>
    <w:rsid w:val="00DB28BD"/>
    <w:rsid w:val="00DB3857"/>
    <w:rsid w:val="00DB4460"/>
    <w:rsid w:val="00DB725D"/>
    <w:rsid w:val="00DC0E67"/>
    <w:rsid w:val="00DC3918"/>
    <w:rsid w:val="00DC5A48"/>
    <w:rsid w:val="00DC6A09"/>
    <w:rsid w:val="00DC7937"/>
    <w:rsid w:val="00DD1165"/>
    <w:rsid w:val="00DD1566"/>
    <w:rsid w:val="00DD1D43"/>
    <w:rsid w:val="00DD2CC2"/>
    <w:rsid w:val="00DD2FEA"/>
    <w:rsid w:val="00DD4AF0"/>
    <w:rsid w:val="00DE0342"/>
    <w:rsid w:val="00DE3CD2"/>
    <w:rsid w:val="00DE413E"/>
    <w:rsid w:val="00DE4500"/>
    <w:rsid w:val="00DE4CA6"/>
    <w:rsid w:val="00DE697F"/>
    <w:rsid w:val="00DE6C27"/>
    <w:rsid w:val="00DE74A5"/>
    <w:rsid w:val="00DF0FFC"/>
    <w:rsid w:val="00DF3AF0"/>
    <w:rsid w:val="00DF3EBE"/>
    <w:rsid w:val="00DF4AB9"/>
    <w:rsid w:val="00DF60CF"/>
    <w:rsid w:val="00DF6A81"/>
    <w:rsid w:val="00DF6C74"/>
    <w:rsid w:val="00DF6FF2"/>
    <w:rsid w:val="00DF72AD"/>
    <w:rsid w:val="00E002EE"/>
    <w:rsid w:val="00E0109C"/>
    <w:rsid w:val="00E020E1"/>
    <w:rsid w:val="00E026C5"/>
    <w:rsid w:val="00E03583"/>
    <w:rsid w:val="00E11B80"/>
    <w:rsid w:val="00E13A29"/>
    <w:rsid w:val="00E14969"/>
    <w:rsid w:val="00E16F63"/>
    <w:rsid w:val="00E170FA"/>
    <w:rsid w:val="00E177AD"/>
    <w:rsid w:val="00E213A0"/>
    <w:rsid w:val="00E2190E"/>
    <w:rsid w:val="00E21D4B"/>
    <w:rsid w:val="00E22DB0"/>
    <w:rsid w:val="00E2318F"/>
    <w:rsid w:val="00E24F2E"/>
    <w:rsid w:val="00E31E49"/>
    <w:rsid w:val="00E32D40"/>
    <w:rsid w:val="00E33C7D"/>
    <w:rsid w:val="00E33CB6"/>
    <w:rsid w:val="00E33F93"/>
    <w:rsid w:val="00E34D9F"/>
    <w:rsid w:val="00E35AD1"/>
    <w:rsid w:val="00E35D4D"/>
    <w:rsid w:val="00E35F9F"/>
    <w:rsid w:val="00E36085"/>
    <w:rsid w:val="00E37C86"/>
    <w:rsid w:val="00E40240"/>
    <w:rsid w:val="00E417F6"/>
    <w:rsid w:val="00E4259A"/>
    <w:rsid w:val="00E43FA4"/>
    <w:rsid w:val="00E45574"/>
    <w:rsid w:val="00E45612"/>
    <w:rsid w:val="00E45894"/>
    <w:rsid w:val="00E47380"/>
    <w:rsid w:val="00E503D7"/>
    <w:rsid w:val="00E505F0"/>
    <w:rsid w:val="00E51F43"/>
    <w:rsid w:val="00E52F5B"/>
    <w:rsid w:val="00E53389"/>
    <w:rsid w:val="00E54740"/>
    <w:rsid w:val="00E57BD5"/>
    <w:rsid w:val="00E6179F"/>
    <w:rsid w:val="00E65606"/>
    <w:rsid w:val="00E6629A"/>
    <w:rsid w:val="00E66D27"/>
    <w:rsid w:val="00E70403"/>
    <w:rsid w:val="00E75B5A"/>
    <w:rsid w:val="00E81927"/>
    <w:rsid w:val="00E83DA5"/>
    <w:rsid w:val="00E84DBC"/>
    <w:rsid w:val="00E9165F"/>
    <w:rsid w:val="00E9336E"/>
    <w:rsid w:val="00E950A1"/>
    <w:rsid w:val="00E9533F"/>
    <w:rsid w:val="00E95EF1"/>
    <w:rsid w:val="00E97F20"/>
    <w:rsid w:val="00EA03A8"/>
    <w:rsid w:val="00EA0783"/>
    <w:rsid w:val="00EA19AE"/>
    <w:rsid w:val="00EA2466"/>
    <w:rsid w:val="00EA4A20"/>
    <w:rsid w:val="00EA5655"/>
    <w:rsid w:val="00EA6EFF"/>
    <w:rsid w:val="00EA795F"/>
    <w:rsid w:val="00EB461E"/>
    <w:rsid w:val="00EB5110"/>
    <w:rsid w:val="00EB5D28"/>
    <w:rsid w:val="00EB6197"/>
    <w:rsid w:val="00EB650E"/>
    <w:rsid w:val="00EC052C"/>
    <w:rsid w:val="00EC1275"/>
    <w:rsid w:val="00EC457A"/>
    <w:rsid w:val="00EC645F"/>
    <w:rsid w:val="00EC6CAB"/>
    <w:rsid w:val="00EC7E35"/>
    <w:rsid w:val="00ED00F8"/>
    <w:rsid w:val="00ED1CB8"/>
    <w:rsid w:val="00ED5089"/>
    <w:rsid w:val="00ED621C"/>
    <w:rsid w:val="00ED65DE"/>
    <w:rsid w:val="00ED6FDF"/>
    <w:rsid w:val="00ED74FC"/>
    <w:rsid w:val="00EE0810"/>
    <w:rsid w:val="00EE0851"/>
    <w:rsid w:val="00EE41AE"/>
    <w:rsid w:val="00EE4ADA"/>
    <w:rsid w:val="00EE698A"/>
    <w:rsid w:val="00EF0032"/>
    <w:rsid w:val="00EF14CC"/>
    <w:rsid w:val="00EF300F"/>
    <w:rsid w:val="00EF30C5"/>
    <w:rsid w:val="00EF43C1"/>
    <w:rsid w:val="00EF5CD1"/>
    <w:rsid w:val="00EF6956"/>
    <w:rsid w:val="00F0035E"/>
    <w:rsid w:val="00F023C5"/>
    <w:rsid w:val="00F04894"/>
    <w:rsid w:val="00F0546B"/>
    <w:rsid w:val="00F055AF"/>
    <w:rsid w:val="00F05670"/>
    <w:rsid w:val="00F05789"/>
    <w:rsid w:val="00F06282"/>
    <w:rsid w:val="00F07281"/>
    <w:rsid w:val="00F0775E"/>
    <w:rsid w:val="00F144B7"/>
    <w:rsid w:val="00F14BC6"/>
    <w:rsid w:val="00F15B64"/>
    <w:rsid w:val="00F163A1"/>
    <w:rsid w:val="00F17496"/>
    <w:rsid w:val="00F20CD4"/>
    <w:rsid w:val="00F20F28"/>
    <w:rsid w:val="00F223D0"/>
    <w:rsid w:val="00F248F3"/>
    <w:rsid w:val="00F26571"/>
    <w:rsid w:val="00F2698D"/>
    <w:rsid w:val="00F2798B"/>
    <w:rsid w:val="00F30D1B"/>
    <w:rsid w:val="00F31470"/>
    <w:rsid w:val="00F322D3"/>
    <w:rsid w:val="00F330FF"/>
    <w:rsid w:val="00F33202"/>
    <w:rsid w:val="00F33E2A"/>
    <w:rsid w:val="00F340B8"/>
    <w:rsid w:val="00F36892"/>
    <w:rsid w:val="00F40B28"/>
    <w:rsid w:val="00F4198B"/>
    <w:rsid w:val="00F42618"/>
    <w:rsid w:val="00F43631"/>
    <w:rsid w:val="00F43700"/>
    <w:rsid w:val="00F447D1"/>
    <w:rsid w:val="00F4520E"/>
    <w:rsid w:val="00F461BE"/>
    <w:rsid w:val="00F46C90"/>
    <w:rsid w:val="00F500C9"/>
    <w:rsid w:val="00F506DD"/>
    <w:rsid w:val="00F50A83"/>
    <w:rsid w:val="00F550AC"/>
    <w:rsid w:val="00F55BE1"/>
    <w:rsid w:val="00F57FC9"/>
    <w:rsid w:val="00F61A3F"/>
    <w:rsid w:val="00F62FA9"/>
    <w:rsid w:val="00F644FF"/>
    <w:rsid w:val="00F6739B"/>
    <w:rsid w:val="00F7045B"/>
    <w:rsid w:val="00F70794"/>
    <w:rsid w:val="00F72157"/>
    <w:rsid w:val="00F72A18"/>
    <w:rsid w:val="00F737D6"/>
    <w:rsid w:val="00F7398C"/>
    <w:rsid w:val="00F74955"/>
    <w:rsid w:val="00F74D6C"/>
    <w:rsid w:val="00F754E6"/>
    <w:rsid w:val="00F7729F"/>
    <w:rsid w:val="00F82C8A"/>
    <w:rsid w:val="00F83ABA"/>
    <w:rsid w:val="00F85E5B"/>
    <w:rsid w:val="00F87E1F"/>
    <w:rsid w:val="00F90339"/>
    <w:rsid w:val="00F90D4A"/>
    <w:rsid w:val="00F9231F"/>
    <w:rsid w:val="00F9379E"/>
    <w:rsid w:val="00F93DD0"/>
    <w:rsid w:val="00F94678"/>
    <w:rsid w:val="00F9629F"/>
    <w:rsid w:val="00F96912"/>
    <w:rsid w:val="00F97EC0"/>
    <w:rsid w:val="00FA1089"/>
    <w:rsid w:val="00FA18A7"/>
    <w:rsid w:val="00FA1F3B"/>
    <w:rsid w:val="00FA38AA"/>
    <w:rsid w:val="00FA3B28"/>
    <w:rsid w:val="00FA4158"/>
    <w:rsid w:val="00FA4764"/>
    <w:rsid w:val="00FA47E5"/>
    <w:rsid w:val="00FA55B0"/>
    <w:rsid w:val="00FA73EE"/>
    <w:rsid w:val="00FA7D8F"/>
    <w:rsid w:val="00FB35B8"/>
    <w:rsid w:val="00FB39E1"/>
    <w:rsid w:val="00FB3CD1"/>
    <w:rsid w:val="00FB3E26"/>
    <w:rsid w:val="00FB44D3"/>
    <w:rsid w:val="00FB6223"/>
    <w:rsid w:val="00FB6F1D"/>
    <w:rsid w:val="00FB772C"/>
    <w:rsid w:val="00FB7D7B"/>
    <w:rsid w:val="00FC07DA"/>
    <w:rsid w:val="00FC0E49"/>
    <w:rsid w:val="00FC1181"/>
    <w:rsid w:val="00FC1B9F"/>
    <w:rsid w:val="00FC4267"/>
    <w:rsid w:val="00FC517E"/>
    <w:rsid w:val="00FC5CD9"/>
    <w:rsid w:val="00FC64FE"/>
    <w:rsid w:val="00FC6B41"/>
    <w:rsid w:val="00FC7312"/>
    <w:rsid w:val="00FD030E"/>
    <w:rsid w:val="00FD12DD"/>
    <w:rsid w:val="00FD1C53"/>
    <w:rsid w:val="00FD2599"/>
    <w:rsid w:val="00FD34CE"/>
    <w:rsid w:val="00FD3CDC"/>
    <w:rsid w:val="00FD4211"/>
    <w:rsid w:val="00FD426A"/>
    <w:rsid w:val="00FD459F"/>
    <w:rsid w:val="00FD52F9"/>
    <w:rsid w:val="00FD5399"/>
    <w:rsid w:val="00FD6AFF"/>
    <w:rsid w:val="00FD7853"/>
    <w:rsid w:val="00FE02D5"/>
    <w:rsid w:val="00FE0B91"/>
    <w:rsid w:val="00FE16D1"/>
    <w:rsid w:val="00FE3382"/>
    <w:rsid w:val="00FE3EE3"/>
    <w:rsid w:val="00FE538B"/>
    <w:rsid w:val="00FF06A4"/>
    <w:rsid w:val="00FF1831"/>
    <w:rsid w:val="00FF52F4"/>
    <w:rsid w:val="00FF5E8E"/>
    <w:rsid w:val="00FF5FB0"/>
    <w:rsid w:val="04AF3EE1"/>
    <w:rsid w:val="0CD00C2A"/>
    <w:rsid w:val="0E166666"/>
    <w:rsid w:val="101161BA"/>
    <w:rsid w:val="10A8527D"/>
    <w:rsid w:val="1C4A1313"/>
    <w:rsid w:val="39DF4407"/>
    <w:rsid w:val="3B864A96"/>
    <w:rsid w:val="3BBE7AE2"/>
    <w:rsid w:val="4A6E61FB"/>
    <w:rsid w:val="502C4F8B"/>
    <w:rsid w:val="59081A72"/>
    <w:rsid w:val="6C952DE5"/>
    <w:rsid w:val="7D956C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qFormat="1" w:uiPriority="99" w:semiHidden="0" w:name="List"/>
    <w:lsdException w:uiPriority="99" w:name="List Bullet"/>
    <w:lsdException w:uiPriority="99"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iPriority="99"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60" w:after="26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0"/>
    <w:pPr>
      <w:keepNext/>
      <w:keepLines/>
      <w:spacing w:line="416" w:lineRule="auto"/>
      <w:outlineLvl w:val="1"/>
    </w:pPr>
    <w:rPr>
      <w:rFonts w:ascii="Arial" w:hAnsi="Arial" w:eastAsia="黑体"/>
      <w:b/>
      <w:bCs/>
      <w:kern w:val="0"/>
      <w:sz w:val="32"/>
      <w:szCs w:val="32"/>
    </w:rPr>
  </w:style>
  <w:style w:type="paragraph" w:styleId="4">
    <w:name w:val="heading 3"/>
    <w:basedOn w:val="1"/>
    <w:next w:val="1"/>
    <w:link w:val="52"/>
    <w:qFormat/>
    <w:uiPriority w:val="0"/>
    <w:pPr>
      <w:keepNext/>
      <w:keepLines/>
      <w:spacing w:before="120" w:after="120"/>
      <w:outlineLvl w:val="2"/>
    </w:pPr>
    <w:rPr>
      <w:b/>
      <w:bCs/>
      <w:szCs w:val="32"/>
    </w:rPr>
  </w:style>
  <w:style w:type="paragraph" w:styleId="5">
    <w:name w:val="heading 4"/>
    <w:basedOn w:val="1"/>
    <w:next w:val="1"/>
    <w:link w:val="53"/>
    <w:qFormat/>
    <w:uiPriority w:val="0"/>
    <w:pPr>
      <w:keepNext/>
      <w:keepLines/>
      <w:spacing w:before="280" w:after="290" w:line="376" w:lineRule="auto"/>
      <w:outlineLvl w:val="3"/>
    </w:pPr>
    <w:rPr>
      <w:rFonts w:ascii="Cambria" w:hAnsi="Cambria"/>
      <w:b/>
      <w:bCs/>
      <w:sz w:val="28"/>
      <w:szCs w:val="28"/>
    </w:rPr>
  </w:style>
  <w:style w:type="paragraph" w:styleId="6">
    <w:name w:val="heading 8"/>
    <w:basedOn w:val="1"/>
    <w:next w:val="1"/>
    <w:link w:val="54"/>
    <w:qFormat/>
    <w:uiPriority w:val="0"/>
    <w:pPr>
      <w:keepNext/>
      <w:keepLines/>
      <w:spacing w:before="240" w:after="64" w:line="320" w:lineRule="auto"/>
      <w:outlineLvl w:val="7"/>
    </w:pPr>
    <w:rPr>
      <w:rFonts w:ascii="Cambria" w:hAnsi="Cambria"/>
      <w:sz w:val="24"/>
      <w:szCs w:val="24"/>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7">
    <w:name w:val="List 3"/>
    <w:basedOn w:val="1"/>
    <w:unhideWhenUsed/>
    <w:qFormat/>
    <w:uiPriority w:val="99"/>
    <w:pPr>
      <w:ind w:left="100" w:leftChars="400" w:hanging="200" w:hangingChars="200"/>
      <w:contextualSpacing/>
    </w:pPr>
  </w:style>
  <w:style w:type="paragraph" w:styleId="8">
    <w:name w:val="toc 7"/>
    <w:basedOn w:val="1"/>
    <w:next w:val="1"/>
    <w:qFormat/>
    <w:uiPriority w:val="39"/>
    <w:pPr>
      <w:spacing w:before="0" w:after="0"/>
      <w:ind w:left="1260"/>
      <w:jc w:val="left"/>
    </w:pPr>
    <w:rPr>
      <w:sz w:val="18"/>
      <w:szCs w:val="18"/>
    </w:rPr>
  </w:style>
  <w:style w:type="paragraph" w:styleId="9">
    <w:name w:val="Normal Indent"/>
    <w:basedOn w:val="1"/>
    <w:qFormat/>
    <w:uiPriority w:val="0"/>
    <w:pPr>
      <w:ind w:firstLine="420"/>
    </w:pPr>
  </w:style>
  <w:style w:type="paragraph" w:styleId="10">
    <w:name w:val="caption"/>
    <w:basedOn w:val="1"/>
    <w:next w:val="1"/>
    <w:qFormat/>
    <w:uiPriority w:val="0"/>
    <w:pPr>
      <w:spacing w:line="480" w:lineRule="auto"/>
    </w:pPr>
    <w:rPr>
      <w:rFonts w:ascii="华文中宋" w:hAnsi="华文中宋" w:eastAsia="华文中宋"/>
      <w:sz w:val="36"/>
    </w:rPr>
  </w:style>
  <w:style w:type="paragraph" w:styleId="11">
    <w:name w:val="Document Map"/>
    <w:basedOn w:val="1"/>
    <w:link w:val="71"/>
    <w:qFormat/>
    <w:uiPriority w:val="0"/>
    <w:pPr>
      <w:shd w:val="clear" w:color="auto" w:fill="000080"/>
    </w:pPr>
  </w:style>
  <w:style w:type="paragraph" w:styleId="12">
    <w:name w:val="toa heading"/>
    <w:basedOn w:val="1"/>
    <w:next w:val="1"/>
    <w:semiHidden/>
    <w:qFormat/>
    <w:uiPriority w:val="0"/>
    <w:pPr>
      <w:spacing w:before="120" w:after="0"/>
    </w:pPr>
    <w:rPr>
      <w:rFonts w:ascii="Arial" w:hAnsi="Arial" w:eastAsia="宋体" w:cs="Arial"/>
      <w:sz w:val="24"/>
      <w:szCs w:val="24"/>
    </w:rPr>
  </w:style>
  <w:style w:type="paragraph" w:styleId="13">
    <w:name w:val="annotation text"/>
    <w:basedOn w:val="1"/>
    <w:link w:val="63"/>
    <w:unhideWhenUsed/>
    <w:qFormat/>
    <w:uiPriority w:val="99"/>
    <w:pPr>
      <w:jc w:val="left"/>
    </w:pPr>
  </w:style>
  <w:style w:type="paragraph" w:styleId="14">
    <w:name w:val="Body Text 3"/>
    <w:basedOn w:val="1"/>
    <w:link w:val="97"/>
    <w:uiPriority w:val="0"/>
    <w:pPr>
      <w:spacing w:after="120" w:line="360" w:lineRule="auto"/>
    </w:pPr>
    <w:rPr>
      <w:sz w:val="16"/>
      <w:szCs w:val="16"/>
    </w:rPr>
  </w:style>
  <w:style w:type="paragraph" w:styleId="15">
    <w:name w:val="Body Text"/>
    <w:basedOn w:val="1"/>
    <w:link w:val="72"/>
    <w:qFormat/>
    <w:uiPriority w:val="0"/>
    <w:pPr>
      <w:spacing w:line="360" w:lineRule="auto"/>
    </w:pPr>
    <w:rPr>
      <w:sz w:val="24"/>
    </w:rPr>
  </w:style>
  <w:style w:type="paragraph" w:styleId="16">
    <w:name w:val="Body Text Indent"/>
    <w:basedOn w:val="1"/>
    <w:link w:val="70"/>
    <w:qFormat/>
    <w:uiPriority w:val="0"/>
    <w:pPr>
      <w:ind w:firstLine="444"/>
    </w:pPr>
    <w:rPr>
      <w:b/>
      <w:sz w:val="24"/>
    </w:rPr>
  </w:style>
  <w:style w:type="paragraph" w:styleId="17">
    <w:name w:val="List 2"/>
    <w:basedOn w:val="1"/>
    <w:unhideWhenUsed/>
    <w:qFormat/>
    <w:uiPriority w:val="99"/>
    <w:pPr>
      <w:ind w:left="100" w:leftChars="200" w:hanging="200" w:hangingChars="200"/>
      <w:contextualSpacing/>
    </w:pPr>
  </w:style>
  <w:style w:type="paragraph" w:styleId="18">
    <w:name w:val="List Continue"/>
    <w:basedOn w:val="1"/>
    <w:unhideWhenUsed/>
    <w:qFormat/>
    <w:uiPriority w:val="99"/>
    <w:pPr>
      <w:spacing w:after="120"/>
      <w:ind w:left="420" w:leftChars="200"/>
      <w:contextualSpacing/>
    </w:pPr>
  </w:style>
  <w:style w:type="paragraph" w:styleId="19">
    <w:name w:val="toc 5"/>
    <w:basedOn w:val="1"/>
    <w:next w:val="1"/>
    <w:qFormat/>
    <w:uiPriority w:val="39"/>
    <w:pPr>
      <w:spacing w:before="0" w:after="0"/>
      <w:ind w:left="840"/>
      <w:jc w:val="left"/>
    </w:pPr>
    <w:rPr>
      <w:sz w:val="18"/>
      <w:szCs w:val="18"/>
    </w:rPr>
  </w:style>
  <w:style w:type="paragraph" w:styleId="20">
    <w:name w:val="toc 3"/>
    <w:basedOn w:val="1"/>
    <w:next w:val="1"/>
    <w:qFormat/>
    <w:uiPriority w:val="39"/>
    <w:pPr>
      <w:spacing w:before="0" w:after="0"/>
      <w:ind w:left="420"/>
      <w:jc w:val="left"/>
    </w:pPr>
    <w:rPr>
      <w:i/>
      <w:iCs/>
      <w:sz w:val="20"/>
    </w:rPr>
  </w:style>
  <w:style w:type="paragraph" w:styleId="21">
    <w:name w:val="Plain Text"/>
    <w:basedOn w:val="1"/>
    <w:link w:val="69"/>
    <w:qFormat/>
    <w:uiPriority w:val="0"/>
    <w:rPr>
      <w:rFonts w:ascii="宋体" w:hAnsi="Courier New"/>
    </w:rPr>
  </w:style>
  <w:style w:type="paragraph" w:styleId="22">
    <w:name w:val="toc 8"/>
    <w:basedOn w:val="1"/>
    <w:next w:val="1"/>
    <w:qFormat/>
    <w:uiPriority w:val="39"/>
    <w:pPr>
      <w:spacing w:before="0" w:after="0"/>
      <w:ind w:left="1470"/>
      <w:jc w:val="left"/>
    </w:pPr>
    <w:rPr>
      <w:sz w:val="18"/>
      <w:szCs w:val="18"/>
    </w:rPr>
  </w:style>
  <w:style w:type="paragraph" w:styleId="23">
    <w:name w:val="Date"/>
    <w:basedOn w:val="1"/>
    <w:next w:val="1"/>
    <w:link w:val="73"/>
    <w:qFormat/>
    <w:uiPriority w:val="99"/>
  </w:style>
  <w:style w:type="paragraph" w:styleId="24">
    <w:name w:val="Body Text Indent 2"/>
    <w:basedOn w:val="1"/>
    <w:link w:val="74"/>
    <w:qFormat/>
    <w:uiPriority w:val="0"/>
    <w:pPr>
      <w:adjustRightInd w:val="0"/>
      <w:spacing w:line="360" w:lineRule="auto"/>
      <w:ind w:firstLine="420" w:firstLineChars="175"/>
    </w:pPr>
    <w:rPr>
      <w:rFonts w:ascii="宋体" w:hAnsi="宋体"/>
      <w:b/>
      <w:bCs/>
      <w:sz w:val="24"/>
    </w:rPr>
  </w:style>
  <w:style w:type="paragraph" w:styleId="25">
    <w:name w:val="Balloon Text"/>
    <w:basedOn w:val="1"/>
    <w:link w:val="59"/>
    <w:qFormat/>
    <w:uiPriority w:val="99"/>
    <w:rPr>
      <w:sz w:val="18"/>
      <w:szCs w:val="18"/>
    </w:rPr>
  </w:style>
  <w:style w:type="paragraph" w:styleId="26">
    <w:name w:val="footer"/>
    <w:basedOn w:val="1"/>
    <w:link w:val="56"/>
    <w:unhideWhenUsed/>
    <w:qFormat/>
    <w:uiPriority w:val="99"/>
    <w:pPr>
      <w:tabs>
        <w:tab w:val="center" w:pos="4153"/>
        <w:tab w:val="right" w:pos="8306"/>
      </w:tabs>
      <w:snapToGrid w:val="0"/>
      <w:jc w:val="left"/>
    </w:pPr>
    <w:rPr>
      <w:sz w:val="18"/>
      <w:szCs w:val="18"/>
    </w:rPr>
  </w:style>
  <w:style w:type="paragraph" w:styleId="27">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leader="dot" w:pos="8820"/>
      </w:tabs>
      <w:spacing w:before="120" w:after="120"/>
      <w:jc w:val="left"/>
    </w:pPr>
    <w:rPr>
      <w:b/>
      <w:bCs/>
      <w:caps/>
      <w:sz w:val="20"/>
    </w:rPr>
  </w:style>
  <w:style w:type="paragraph" w:styleId="29">
    <w:name w:val="toc 4"/>
    <w:basedOn w:val="1"/>
    <w:next w:val="1"/>
    <w:qFormat/>
    <w:uiPriority w:val="39"/>
    <w:pPr>
      <w:spacing w:before="0" w:after="0"/>
      <w:ind w:left="630"/>
      <w:jc w:val="left"/>
    </w:pPr>
    <w:rPr>
      <w:sz w:val="18"/>
      <w:szCs w:val="18"/>
    </w:rPr>
  </w:style>
  <w:style w:type="paragraph" w:styleId="30">
    <w:name w:val="List"/>
    <w:basedOn w:val="1"/>
    <w:unhideWhenUsed/>
    <w:qFormat/>
    <w:uiPriority w:val="99"/>
    <w:pPr>
      <w:ind w:left="200" w:hanging="200" w:hangingChars="200"/>
      <w:contextualSpacing/>
    </w:pPr>
  </w:style>
  <w:style w:type="paragraph" w:styleId="31">
    <w:name w:val="toc 6"/>
    <w:basedOn w:val="1"/>
    <w:next w:val="1"/>
    <w:qFormat/>
    <w:uiPriority w:val="39"/>
    <w:pPr>
      <w:spacing w:before="0" w:after="0"/>
      <w:ind w:left="1050"/>
      <w:jc w:val="left"/>
    </w:pPr>
    <w:rPr>
      <w:sz w:val="18"/>
      <w:szCs w:val="18"/>
    </w:rPr>
  </w:style>
  <w:style w:type="paragraph" w:styleId="32">
    <w:name w:val="List 5"/>
    <w:basedOn w:val="1"/>
    <w:unhideWhenUsed/>
    <w:qFormat/>
    <w:uiPriority w:val="99"/>
    <w:pPr>
      <w:ind w:left="100" w:leftChars="800" w:hanging="200" w:hangingChars="200"/>
      <w:contextualSpacing/>
    </w:pPr>
  </w:style>
  <w:style w:type="paragraph" w:styleId="33">
    <w:name w:val="Body Text Indent 3"/>
    <w:basedOn w:val="1"/>
    <w:link w:val="76"/>
    <w:qFormat/>
    <w:uiPriority w:val="0"/>
    <w:pPr>
      <w:spacing w:afterLines="50"/>
      <w:ind w:firstLine="420" w:firstLineChars="200"/>
    </w:pPr>
    <w:rPr>
      <w:szCs w:val="21"/>
    </w:rPr>
  </w:style>
  <w:style w:type="paragraph" w:styleId="34">
    <w:name w:val="toc 2"/>
    <w:basedOn w:val="1"/>
    <w:next w:val="1"/>
    <w:qFormat/>
    <w:uiPriority w:val="39"/>
    <w:pPr>
      <w:tabs>
        <w:tab w:val="left" w:leader="dot" w:pos="8820"/>
      </w:tabs>
      <w:spacing w:before="0" w:after="0"/>
      <w:ind w:left="210"/>
      <w:jc w:val="left"/>
    </w:pPr>
    <w:rPr>
      <w:smallCaps/>
      <w:sz w:val="20"/>
    </w:rPr>
  </w:style>
  <w:style w:type="paragraph" w:styleId="35">
    <w:name w:val="toc 9"/>
    <w:basedOn w:val="1"/>
    <w:next w:val="1"/>
    <w:qFormat/>
    <w:uiPriority w:val="39"/>
    <w:pPr>
      <w:spacing w:before="0" w:after="0"/>
      <w:ind w:left="1680"/>
      <w:jc w:val="left"/>
    </w:pPr>
    <w:rPr>
      <w:sz w:val="18"/>
      <w:szCs w:val="18"/>
    </w:rPr>
  </w:style>
  <w:style w:type="paragraph" w:styleId="36">
    <w:name w:val="List 4"/>
    <w:basedOn w:val="1"/>
    <w:unhideWhenUsed/>
    <w:qFormat/>
    <w:uiPriority w:val="99"/>
    <w:pPr>
      <w:ind w:left="100" w:leftChars="600" w:hanging="200" w:hangingChars="200"/>
      <w:contextualSpacing/>
    </w:pPr>
  </w:style>
  <w:style w:type="paragraph" w:styleId="3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38">
    <w:name w:val="Title"/>
    <w:basedOn w:val="1"/>
    <w:next w:val="1"/>
    <w:link w:val="99"/>
    <w:qFormat/>
    <w:uiPriority w:val="0"/>
    <w:pPr>
      <w:spacing w:before="240" w:after="60"/>
      <w:jc w:val="center"/>
      <w:outlineLvl w:val="0"/>
    </w:pPr>
    <w:rPr>
      <w:rFonts w:ascii="Cambria" w:hAnsi="Cambria"/>
      <w:b/>
      <w:bCs/>
      <w:sz w:val="32"/>
      <w:szCs w:val="32"/>
    </w:rPr>
  </w:style>
  <w:style w:type="paragraph" w:styleId="39">
    <w:name w:val="annotation subject"/>
    <w:basedOn w:val="13"/>
    <w:next w:val="13"/>
    <w:link w:val="62"/>
    <w:qFormat/>
    <w:uiPriority w:val="99"/>
    <w:rPr>
      <w:b/>
      <w:bCs/>
    </w:rPr>
  </w:style>
  <w:style w:type="paragraph" w:styleId="40">
    <w:name w:val="Body Text First Indent"/>
    <w:basedOn w:val="15"/>
    <w:link w:val="110"/>
    <w:unhideWhenUsed/>
    <w:qFormat/>
    <w:uiPriority w:val="99"/>
    <w:pPr>
      <w:spacing w:after="120" w:line="240" w:lineRule="auto"/>
      <w:ind w:firstLine="420" w:firstLineChars="100"/>
    </w:pPr>
    <w:rPr>
      <w:sz w:val="21"/>
    </w:rPr>
  </w:style>
  <w:style w:type="paragraph" w:styleId="41">
    <w:name w:val="Body Text First Indent 2"/>
    <w:basedOn w:val="16"/>
    <w:link w:val="111"/>
    <w:unhideWhenUsed/>
    <w:qFormat/>
    <w:uiPriority w:val="99"/>
    <w:pPr>
      <w:spacing w:after="120"/>
      <w:ind w:left="420" w:leftChars="200" w:firstLine="420" w:firstLineChars="200"/>
    </w:pPr>
    <w:rPr>
      <w:b w:val="0"/>
      <w:sz w:val="21"/>
    </w:rPr>
  </w:style>
  <w:style w:type="table" w:styleId="43">
    <w:name w:val="Table Grid"/>
    <w:basedOn w:val="42"/>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basedOn w:val="44"/>
    <w:unhideWhenUsed/>
    <w:qFormat/>
    <w:uiPriority w:val="0"/>
    <w:rPr>
      <w:color w:val="800080" w:themeColor="followedHyperlink"/>
      <w:u w:val="single"/>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character" w:customStyle="1" w:styleId="50">
    <w:name w:val="标题 1 Char"/>
    <w:basedOn w:val="44"/>
    <w:link w:val="2"/>
    <w:qFormat/>
    <w:uiPriority w:val="0"/>
    <w:rPr>
      <w:rFonts w:ascii="Times New Roman" w:hAnsi="Times New Roman" w:eastAsia="宋体" w:cs="Times New Roman"/>
      <w:b/>
      <w:bCs/>
      <w:kern w:val="44"/>
      <w:sz w:val="44"/>
      <w:szCs w:val="44"/>
    </w:rPr>
  </w:style>
  <w:style w:type="character" w:customStyle="1" w:styleId="51">
    <w:name w:val="标题 2 Char1"/>
    <w:link w:val="3"/>
    <w:qFormat/>
    <w:uiPriority w:val="0"/>
    <w:rPr>
      <w:rFonts w:ascii="Arial" w:hAnsi="Arial" w:eastAsia="黑体" w:cs="Times New Roman"/>
      <w:b/>
      <w:bCs/>
      <w:kern w:val="0"/>
      <w:sz w:val="32"/>
      <w:szCs w:val="32"/>
    </w:rPr>
  </w:style>
  <w:style w:type="character" w:customStyle="1" w:styleId="52">
    <w:name w:val="标题 3 Char"/>
    <w:basedOn w:val="44"/>
    <w:link w:val="4"/>
    <w:qFormat/>
    <w:uiPriority w:val="0"/>
    <w:rPr>
      <w:rFonts w:ascii="Times New Roman" w:hAnsi="Times New Roman" w:eastAsia="宋体" w:cs="Times New Roman"/>
      <w:b/>
      <w:bCs/>
      <w:szCs w:val="32"/>
    </w:rPr>
  </w:style>
  <w:style w:type="character" w:customStyle="1" w:styleId="53">
    <w:name w:val="标题 4 Char"/>
    <w:basedOn w:val="44"/>
    <w:link w:val="5"/>
    <w:qFormat/>
    <w:uiPriority w:val="0"/>
    <w:rPr>
      <w:rFonts w:ascii="Cambria" w:hAnsi="Cambria" w:eastAsia="宋体" w:cs="Times New Roman"/>
      <w:b/>
      <w:bCs/>
      <w:sz w:val="28"/>
      <w:szCs w:val="28"/>
    </w:rPr>
  </w:style>
  <w:style w:type="character" w:customStyle="1" w:styleId="54">
    <w:name w:val="标题 8 Char"/>
    <w:basedOn w:val="44"/>
    <w:link w:val="6"/>
    <w:qFormat/>
    <w:uiPriority w:val="0"/>
    <w:rPr>
      <w:rFonts w:ascii="Cambria" w:hAnsi="Cambria" w:eastAsia="宋体" w:cs="Times New Roman"/>
      <w:sz w:val="24"/>
      <w:szCs w:val="24"/>
    </w:rPr>
  </w:style>
  <w:style w:type="character" w:customStyle="1" w:styleId="55">
    <w:name w:val="页眉 Char"/>
    <w:basedOn w:val="44"/>
    <w:link w:val="27"/>
    <w:qFormat/>
    <w:uiPriority w:val="99"/>
    <w:rPr>
      <w:sz w:val="18"/>
      <w:szCs w:val="18"/>
    </w:rPr>
  </w:style>
  <w:style w:type="character" w:customStyle="1" w:styleId="56">
    <w:name w:val="页脚 Char"/>
    <w:basedOn w:val="44"/>
    <w:link w:val="26"/>
    <w:qFormat/>
    <w:uiPriority w:val="99"/>
    <w:rPr>
      <w:sz w:val="18"/>
      <w:szCs w:val="18"/>
    </w:rPr>
  </w:style>
  <w:style w:type="character" w:customStyle="1" w:styleId="57">
    <w:name w:val="标题 2 Char"/>
    <w:basedOn w:val="44"/>
    <w:qFormat/>
    <w:uiPriority w:val="0"/>
    <w:rPr>
      <w:rFonts w:asciiTheme="majorHAnsi" w:hAnsiTheme="majorHAnsi" w:eastAsiaTheme="majorEastAsia" w:cstheme="majorBidi"/>
      <w:b/>
      <w:bCs/>
      <w:sz w:val="32"/>
      <w:szCs w:val="32"/>
    </w:rPr>
  </w:style>
  <w:style w:type="paragraph" w:customStyle="1" w:styleId="58">
    <w:name w:val="2"/>
    <w:qFormat/>
    <w:uiPriority w:val="0"/>
    <w:pPr>
      <w:widowControl w:val="0"/>
      <w:spacing w:before="260" w:after="260"/>
      <w:jc w:val="both"/>
    </w:pPr>
    <w:rPr>
      <w:rFonts w:ascii="Times New Roman" w:hAnsi="Times New Roman" w:eastAsia="宋体" w:cs="Times New Roman"/>
      <w:kern w:val="2"/>
      <w:sz w:val="21"/>
      <w:lang w:val="en-US" w:eastAsia="zh-CN" w:bidi="ar-SA"/>
    </w:rPr>
  </w:style>
  <w:style w:type="character" w:customStyle="1" w:styleId="59">
    <w:name w:val="批注框文本 Char"/>
    <w:link w:val="25"/>
    <w:qFormat/>
    <w:uiPriority w:val="99"/>
    <w:rPr>
      <w:sz w:val="18"/>
      <w:szCs w:val="18"/>
    </w:rPr>
  </w:style>
  <w:style w:type="character" w:customStyle="1" w:styleId="60">
    <w:name w:val="unnamed11"/>
    <w:qFormat/>
    <w:uiPriority w:val="0"/>
    <w:rPr>
      <w:u w:val="none"/>
    </w:rPr>
  </w:style>
  <w:style w:type="character" w:customStyle="1" w:styleId="61">
    <w:name w:val="专用功能1"/>
    <w:qFormat/>
    <w:uiPriority w:val="0"/>
    <w:rPr>
      <w:color w:val="666666"/>
      <w:sz w:val="20"/>
    </w:rPr>
  </w:style>
  <w:style w:type="character" w:customStyle="1" w:styleId="62">
    <w:name w:val="批注主题 Char"/>
    <w:link w:val="39"/>
    <w:qFormat/>
    <w:uiPriority w:val="99"/>
    <w:rPr>
      <w:b/>
      <w:bCs/>
    </w:rPr>
  </w:style>
  <w:style w:type="character" w:customStyle="1" w:styleId="63">
    <w:name w:val="批注文字 Char1"/>
    <w:basedOn w:val="44"/>
    <w:link w:val="13"/>
    <w:semiHidden/>
    <w:qFormat/>
    <w:uiPriority w:val="99"/>
    <w:rPr>
      <w:rFonts w:ascii="Times New Roman" w:hAnsi="Times New Roman" w:eastAsia="宋体" w:cs="Times New Roman"/>
      <w:szCs w:val="20"/>
    </w:rPr>
  </w:style>
  <w:style w:type="character" w:customStyle="1" w:styleId="64">
    <w:name w:val="批注文字 Char"/>
    <w:qFormat/>
    <w:uiPriority w:val="99"/>
    <w:rPr>
      <w:kern w:val="2"/>
      <w:sz w:val="21"/>
    </w:rPr>
  </w:style>
  <w:style w:type="character" w:customStyle="1" w:styleId="65">
    <w:name w:val="批注主题 Char1"/>
    <w:basedOn w:val="63"/>
    <w:semiHidden/>
    <w:qFormat/>
    <w:uiPriority w:val="99"/>
    <w:rPr>
      <w:rFonts w:ascii="Times New Roman" w:hAnsi="Times New Roman" w:eastAsia="宋体" w:cs="Times New Roman"/>
      <w:b/>
      <w:bCs/>
      <w:szCs w:val="20"/>
    </w:rPr>
  </w:style>
  <w:style w:type="paragraph" w:customStyle="1" w:styleId="66">
    <w:name w:val="正文1"/>
    <w:basedOn w:val="1"/>
    <w:qFormat/>
    <w:uiPriority w:val="0"/>
    <w:pPr>
      <w:adjustRightInd w:val="0"/>
      <w:spacing w:line="360" w:lineRule="atLeast"/>
      <w:jc w:val="left"/>
      <w:textAlignment w:val="baseline"/>
    </w:pPr>
    <w:rPr>
      <w:rFonts w:ascii="宋体"/>
      <w:b/>
      <w:kern w:val="0"/>
      <w:sz w:val="24"/>
    </w:rPr>
  </w:style>
  <w:style w:type="paragraph" w:customStyle="1" w:styleId="67">
    <w:name w:val="修订1"/>
    <w:qFormat/>
    <w:uiPriority w:val="0"/>
    <w:pPr>
      <w:spacing w:before="260" w:after="260"/>
      <w:jc w:val="both"/>
    </w:pPr>
    <w:rPr>
      <w:rFonts w:ascii="Times New Roman" w:hAnsi="Times New Roman" w:eastAsia="宋体" w:cs="Times New Roman"/>
      <w:kern w:val="2"/>
      <w:sz w:val="21"/>
      <w:lang w:val="en-US" w:eastAsia="zh-CN" w:bidi="ar-SA"/>
    </w:rPr>
  </w:style>
  <w:style w:type="paragraph" w:customStyle="1" w:styleId="68">
    <w:name w:val="缺省文本"/>
    <w:qFormat/>
    <w:uiPriority w:val="0"/>
    <w:pPr>
      <w:widowControl w:val="0"/>
      <w:autoSpaceDE w:val="0"/>
      <w:autoSpaceDN w:val="0"/>
      <w:adjustRightInd w:val="0"/>
      <w:spacing w:before="260" w:after="260"/>
      <w:jc w:val="both"/>
    </w:pPr>
    <w:rPr>
      <w:rFonts w:ascii="Times New Roman" w:hAnsi="Times New Roman" w:eastAsia="宋体" w:cs="Times New Roman"/>
      <w:color w:val="000000"/>
      <w:szCs w:val="24"/>
      <w:lang w:val="en-US" w:eastAsia="zh-CN" w:bidi="ar-SA"/>
    </w:rPr>
  </w:style>
  <w:style w:type="character" w:customStyle="1" w:styleId="69">
    <w:name w:val="纯文本 Char"/>
    <w:basedOn w:val="44"/>
    <w:link w:val="21"/>
    <w:qFormat/>
    <w:uiPriority w:val="0"/>
    <w:rPr>
      <w:rFonts w:ascii="宋体" w:hAnsi="Courier New" w:eastAsia="宋体" w:cs="Times New Roman"/>
      <w:szCs w:val="20"/>
    </w:rPr>
  </w:style>
  <w:style w:type="character" w:customStyle="1" w:styleId="70">
    <w:name w:val="正文文本缩进 Char"/>
    <w:basedOn w:val="44"/>
    <w:link w:val="16"/>
    <w:qFormat/>
    <w:uiPriority w:val="0"/>
    <w:rPr>
      <w:rFonts w:ascii="Times New Roman" w:hAnsi="Times New Roman" w:eastAsia="宋体" w:cs="Times New Roman"/>
      <w:b/>
      <w:sz w:val="24"/>
      <w:szCs w:val="20"/>
    </w:rPr>
  </w:style>
  <w:style w:type="character" w:customStyle="1" w:styleId="71">
    <w:name w:val="文档结构图 Char"/>
    <w:basedOn w:val="44"/>
    <w:link w:val="11"/>
    <w:uiPriority w:val="0"/>
    <w:rPr>
      <w:rFonts w:ascii="Times New Roman" w:hAnsi="Times New Roman" w:eastAsia="宋体" w:cs="Times New Roman"/>
      <w:szCs w:val="20"/>
      <w:shd w:val="clear" w:color="auto" w:fill="000080"/>
    </w:rPr>
  </w:style>
  <w:style w:type="character" w:customStyle="1" w:styleId="72">
    <w:name w:val="正文文本 Char"/>
    <w:basedOn w:val="44"/>
    <w:link w:val="15"/>
    <w:qFormat/>
    <w:uiPriority w:val="0"/>
    <w:rPr>
      <w:rFonts w:ascii="Times New Roman" w:hAnsi="Times New Roman" w:eastAsia="宋体" w:cs="Times New Roman"/>
      <w:sz w:val="24"/>
      <w:szCs w:val="20"/>
    </w:rPr>
  </w:style>
  <w:style w:type="character" w:customStyle="1" w:styleId="73">
    <w:name w:val="日期 Char"/>
    <w:basedOn w:val="44"/>
    <w:link w:val="23"/>
    <w:uiPriority w:val="99"/>
    <w:rPr>
      <w:rFonts w:ascii="Times New Roman" w:hAnsi="Times New Roman" w:eastAsia="宋体" w:cs="Times New Roman"/>
      <w:szCs w:val="20"/>
    </w:rPr>
  </w:style>
  <w:style w:type="character" w:customStyle="1" w:styleId="74">
    <w:name w:val="正文文本缩进 2 Char"/>
    <w:basedOn w:val="44"/>
    <w:link w:val="24"/>
    <w:uiPriority w:val="0"/>
    <w:rPr>
      <w:rFonts w:ascii="宋体" w:hAnsi="宋体" w:eastAsia="宋体" w:cs="Times New Roman"/>
      <w:b/>
      <w:bCs/>
      <w:sz w:val="24"/>
      <w:szCs w:val="20"/>
    </w:rPr>
  </w:style>
  <w:style w:type="character" w:customStyle="1" w:styleId="75">
    <w:name w:val="批注框文本 Char1"/>
    <w:basedOn w:val="44"/>
    <w:semiHidden/>
    <w:qFormat/>
    <w:uiPriority w:val="99"/>
    <w:rPr>
      <w:rFonts w:ascii="Times New Roman" w:hAnsi="Times New Roman" w:eastAsia="宋体" w:cs="Times New Roman"/>
      <w:sz w:val="18"/>
      <w:szCs w:val="18"/>
    </w:rPr>
  </w:style>
  <w:style w:type="character" w:customStyle="1" w:styleId="76">
    <w:name w:val="正文文本缩进 3 Char"/>
    <w:basedOn w:val="44"/>
    <w:link w:val="33"/>
    <w:qFormat/>
    <w:uiPriority w:val="0"/>
    <w:rPr>
      <w:rFonts w:ascii="Times New Roman" w:hAnsi="Times New Roman" w:eastAsia="宋体" w:cs="Times New Roman"/>
      <w:szCs w:val="21"/>
    </w:rPr>
  </w:style>
  <w:style w:type="paragraph" w:customStyle="1" w:styleId="77">
    <w:name w:val="正文 New New New New New New New New New New New New New New New New New New New New New New New"/>
    <w:qFormat/>
    <w:uiPriority w:val="0"/>
    <w:pPr>
      <w:widowControl w:val="0"/>
      <w:spacing w:before="260" w:after="260"/>
      <w:jc w:val="both"/>
    </w:pPr>
    <w:rPr>
      <w:rFonts w:ascii="Times New Roman" w:hAnsi="Times New Roman" w:eastAsia="宋体" w:cs="Times New Roman"/>
      <w:kern w:val="2"/>
      <w:sz w:val="21"/>
      <w:lang w:val="en-US" w:eastAsia="zh-CN" w:bidi="ar-SA"/>
    </w:rPr>
  </w:style>
  <w:style w:type="paragraph" w:customStyle="1" w:styleId="78">
    <w:name w:val="样式2"/>
    <w:basedOn w:val="1"/>
    <w:uiPriority w:val="0"/>
    <w:pPr>
      <w:adjustRightInd w:val="0"/>
      <w:spacing w:line="410" w:lineRule="atLeast"/>
      <w:jc w:val="left"/>
      <w:textAlignment w:val="baseline"/>
    </w:pPr>
    <w:rPr>
      <w:kern w:val="0"/>
      <w:sz w:val="24"/>
    </w:rPr>
  </w:style>
  <w:style w:type="paragraph" w:customStyle="1" w:styleId="79">
    <w:name w:val="55"/>
    <w:basedOn w:val="1"/>
    <w:qFormat/>
    <w:uiPriority w:val="0"/>
    <w:pPr>
      <w:adjustRightInd w:val="0"/>
      <w:spacing w:line="500" w:lineRule="exact"/>
      <w:ind w:firstLine="629"/>
    </w:pPr>
    <w:rPr>
      <w:rFonts w:ascii="仿宋_GB2312" w:eastAsia="仿宋_GB2312"/>
      <w:sz w:val="28"/>
      <w:szCs w:val="28"/>
    </w:rPr>
  </w:style>
  <w:style w:type="paragraph" w:customStyle="1" w:styleId="80">
    <w:name w:val="p0"/>
    <w:basedOn w:val="1"/>
    <w:qFormat/>
    <w:uiPriority w:val="0"/>
    <w:pPr>
      <w:widowControl/>
    </w:pPr>
    <w:rPr>
      <w:kern w:val="0"/>
    </w:rPr>
  </w:style>
  <w:style w:type="paragraph" w:customStyle="1" w:styleId="81">
    <w:name w:val="表格侧编号"/>
    <w:next w:val="1"/>
    <w:uiPriority w:val="0"/>
    <w:pPr>
      <w:widowControl w:val="0"/>
      <w:spacing w:before="260" w:after="260"/>
      <w:jc w:val="center"/>
    </w:pPr>
    <w:rPr>
      <w:rFonts w:ascii="宋体" w:hAnsi="宋体" w:eastAsia="宋体" w:cs="Times New Roman"/>
      <w:kern w:val="2"/>
      <w:sz w:val="21"/>
      <w:lang w:val="en-US" w:eastAsia="zh-CN" w:bidi="ar-SA"/>
    </w:rPr>
  </w:style>
  <w:style w:type="paragraph" w:customStyle="1" w:styleId="82">
    <w:name w:val="附件"/>
    <w:basedOn w:val="1"/>
    <w:uiPriority w:val="0"/>
    <w:pPr>
      <w:adjustRightInd w:val="0"/>
      <w:spacing w:before="120" w:after="60"/>
      <w:jc w:val="center"/>
      <w:textAlignment w:val="center"/>
    </w:pPr>
    <w:rPr>
      <w:rFonts w:ascii="黑体" w:eastAsia="黑体"/>
      <w:b/>
      <w:kern w:val="0"/>
      <w:sz w:val="32"/>
      <w:szCs w:val="32"/>
    </w:rPr>
  </w:style>
  <w:style w:type="paragraph" w:customStyle="1" w:styleId="83">
    <w:name w:val="表格"/>
    <w:basedOn w:val="1"/>
    <w:link w:val="84"/>
    <w:uiPriority w:val="0"/>
    <w:pPr>
      <w:adjustRightInd w:val="0"/>
      <w:spacing w:before="60" w:after="60"/>
      <w:jc w:val="center"/>
      <w:textAlignment w:val="baseline"/>
    </w:pPr>
    <w:rPr>
      <w:rFonts w:ascii="宋体"/>
      <w:kern w:val="0"/>
      <w:sz w:val="24"/>
    </w:rPr>
  </w:style>
  <w:style w:type="character" w:customStyle="1" w:styleId="84">
    <w:name w:val="表格 Char"/>
    <w:link w:val="83"/>
    <w:locked/>
    <w:uiPriority w:val="0"/>
    <w:rPr>
      <w:rFonts w:ascii="宋体" w:hAnsi="Times New Roman" w:eastAsia="宋体" w:cs="Times New Roman"/>
      <w:kern w:val="0"/>
      <w:sz w:val="24"/>
      <w:szCs w:val="20"/>
    </w:rPr>
  </w:style>
  <w:style w:type="paragraph" w:customStyle="1" w:styleId="85">
    <w:name w:val="Char"/>
    <w:basedOn w:val="1"/>
    <w:uiPriority w:val="0"/>
    <w:pPr>
      <w:adjustRightInd w:val="0"/>
      <w:spacing w:line="360" w:lineRule="auto"/>
    </w:pPr>
    <w:rPr>
      <w:kern w:val="0"/>
      <w:sz w:val="24"/>
    </w:rPr>
  </w:style>
  <w:style w:type="paragraph" w:customStyle="1" w:styleId="86">
    <w:name w:val="1"/>
    <w:basedOn w:val="1"/>
    <w:uiPriority w:val="0"/>
    <w:pPr>
      <w:spacing w:afterLines="50" w:line="360" w:lineRule="auto"/>
      <w:ind w:firstLine="3243" w:firstLineChars="1080"/>
    </w:pPr>
    <w:rPr>
      <w:rFonts w:ascii="宋体" w:hAnsi="宋体"/>
      <w:b/>
      <w:sz w:val="30"/>
      <w:szCs w:val="21"/>
    </w:rPr>
  </w:style>
  <w:style w:type="paragraph" w:customStyle="1" w:styleId="87">
    <w:name w:val="金正文1"/>
    <w:basedOn w:val="1"/>
    <w:qFormat/>
    <w:uiPriority w:val="0"/>
    <w:pPr>
      <w:spacing w:line="360" w:lineRule="auto"/>
      <w:jc w:val="left"/>
    </w:pPr>
  </w:style>
  <w:style w:type="paragraph" w:customStyle="1" w:styleId="88">
    <w:name w:val="默认段落字体 Para Char Char Char Char"/>
    <w:basedOn w:val="1"/>
    <w:uiPriority w:val="0"/>
    <w:pPr>
      <w:snapToGrid w:val="0"/>
    </w:pPr>
  </w:style>
  <w:style w:type="paragraph" w:customStyle="1" w:styleId="89">
    <w:name w:val="正文文本 31"/>
    <w:basedOn w:val="1"/>
    <w:uiPriority w:val="0"/>
    <w:pPr>
      <w:adjustRightInd w:val="0"/>
      <w:spacing w:line="360" w:lineRule="auto"/>
      <w:jc w:val="center"/>
      <w:textAlignment w:val="baseline"/>
    </w:pPr>
    <w:rPr>
      <w:rFonts w:ascii="宋体"/>
      <w:b/>
      <w:color w:val="FF0000"/>
      <w:kern w:val="0"/>
      <w:sz w:val="24"/>
      <w:u w:val="single"/>
    </w:rPr>
  </w:style>
  <w:style w:type="paragraph" w:customStyle="1" w:styleId="90">
    <w:name w:val="样式 55 + (西文) Times New Roman (中文) 宋体 五号 加粗 行距: 1.5 倍行距"/>
    <w:basedOn w:val="79"/>
    <w:uiPriority w:val="0"/>
    <w:pPr>
      <w:snapToGrid w:val="0"/>
      <w:spacing w:line="360" w:lineRule="auto"/>
      <w:ind w:firstLine="0"/>
    </w:pPr>
    <w:rPr>
      <w:rFonts w:ascii="Times New Roman" w:eastAsia="黑体" w:cs="宋体"/>
      <w:bCs/>
      <w:szCs w:val="20"/>
    </w:rPr>
  </w:style>
  <w:style w:type="paragraph" w:customStyle="1" w:styleId="91">
    <w:name w:val="标题2（新）"/>
    <w:basedOn w:val="3"/>
    <w:uiPriority w:val="0"/>
    <w:pPr>
      <w:widowControl/>
      <w:spacing w:before="0" w:after="0" w:line="440" w:lineRule="exact"/>
      <w:jc w:val="left"/>
    </w:pPr>
    <w:rPr>
      <w:rFonts w:ascii="宋体" w:eastAsia="宋体" w:cs="宋体"/>
      <w:snapToGrid w:val="0"/>
      <w:sz w:val="28"/>
      <w:szCs w:val="28"/>
    </w:rPr>
  </w:style>
  <w:style w:type="paragraph" w:customStyle="1" w:styleId="92">
    <w:name w:val="Char Char Char"/>
    <w:basedOn w:val="1"/>
    <w:qFormat/>
    <w:uiPriority w:val="0"/>
    <w:rPr>
      <w:rFonts w:ascii="Tahoma" w:hAnsi="Tahoma"/>
      <w:sz w:val="24"/>
    </w:rPr>
  </w:style>
  <w:style w:type="paragraph" w:customStyle="1" w:styleId="93">
    <w:name w:val="TOC 标题1"/>
    <w:basedOn w:val="2"/>
    <w:next w:val="1"/>
    <w:qFormat/>
    <w:uiPriority w:val="39"/>
    <w:pPr>
      <w:widowControl/>
      <w:spacing w:before="480" w:afterLines="50" w:line="276" w:lineRule="auto"/>
      <w:jc w:val="left"/>
      <w:outlineLvl w:val="9"/>
    </w:pPr>
    <w:rPr>
      <w:rFonts w:ascii="Cambria" w:hAnsi="Cambria"/>
      <w:color w:val="365F91"/>
      <w:kern w:val="0"/>
      <w:sz w:val="28"/>
      <w:szCs w:val="28"/>
    </w:rPr>
  </w:style>
  <w:style w:type="paragraph" w:customStyle="1" w:styleId="94">
    <w:name w:val="Default"/>
    <w:qFormat/>
    <w:uiPriority w:val="0"/>
    <w:pPr>
      <w:widowControl w:val="0"/>
      <w:autoSpaceDE w:val="0"/>
      <w:autoSpaceDN w:val="0"/>
      <w:adjustRightInd w:val="0"/>
      <w:spacing w:before="260" w:after="260"/>
      <w:jc w:val="both"/>
    </w:pPr>
    <w:rPr>
      <w:rFonts w:ascii="宋体" w:hAnsi="Times New Roman" w:eastAsia="宋体" w:cs="Times New Roman"/>
      <w:color w:val="000000"/>
      <w:sz w:val="24"/>
      <w:lang w:val="en-US" w:eastAsia="zh-CN" w:bidi="ar-SA"/>
    </w:rPr>
  </w:style>
  <w:style w:type="paragraph" w:styleId="95">
    <w:name w:val="No Spacing"/>
    <w:link w:val="96"/>
    <w:qFormat/>
    <w:uiPriority w:val="1"/>
    <w:pPr>
      <w:spacing w:before="260" w:after="260"/>
      <w:jc w:val="both"/>
    </w:pPr>
    <w:rPr>
      <w:rFonts w:ascii="Calibri" w:hAnsi="Calibri" w:eastAsia="宋体" w:cs="Times New Roman"/>
      <w:sz w:val="22"/>
      <w:szCs w:val="22"/>
      <w:lang w:val="en-US" w:eastAsia="zh-CN" w:bidi="ar-SA"/>
    </w:rPr>
  </w:style>
  <w:style w:type="character" w:customStyle="1" w:styleId="96">
    <w:name w:val="无间隔 Char"/>
    <w:link w:val="95"/>
    <w:qFormat/>
    <w:uiPriority w:val="1"/>
    <w:rPr>
      <w:rFonts w:ascii="Calibri" w:hAnsi="Calibri" w:eastAsia="宋体" w:cs="Times New Roman"/>
      <w:kern w:val="0"/>
      <w:sz w:val="22"/>
    </w:rPr>
  </w:style>
  <w:style w:type="character" w:customStyle="1" w:styleId="97">
    <w:name w:val="正文文本 3 Char"/>
    <w:link w:val="14"/>
    <w:qFormat/>
    <w:uiPriority w:val="0"/>
    <w:rPr>
      <w:sz w:val="16"/>
      <w:szCs w:val="16"/>
    </w:rPr>
  </w:style>
  <w:style w:type="character" w:customStyle="1" w:styleId="98">
    <w:name w:val="正文文本 3 Char1"/>
    <w:basedOn w:val="44"/>
    <w:semiHidden/>
    <w:qFormat/>
    <w:uiPriority w:val="99"/>
    <w:rPr>
      <w:rFonts w:ascii="Times New Roman" w:hAnsi="Times New Roman" w:eastAsia="宋体" w:cs="Times New Roman"/>
      <w:sz w:val="16"/>
      <w:szCs w:val="16"/>
    </w:rPr>
  </w:style>
  <w:style w:type="character" w:customStyle="1" w:styleId="99">
    <w:name w:val="标题 Char"/>
    <w:basedOn w:val="44"/>
    <w:link w:val="38"/>
    <w:qFormat/>
    <w:uiPriority w:val="0"/>
    <w:rPr>
      <w:rFonts w:ascii="Cambria" w:hAnsi="Cambria" w:eastAsia="宋体" w:cs="Times New Roman"/>
      <w:b/>
      <w:bCs/>
      <w:sz w:val="32"/>
      <w:szCs w:val="32"/>
    </w:rPr>
  </w:style>
  <w:style w:type="paragraph" w:customStyle="1" w:styleId="100">
    <w:name w:val="表格文字"/>
    <w:basedOn w:val="15"/>
    <w:uiPriority w:val="0"/>
    <w:pPr>
      <w:adjustRightInd w:val="0"/>
      <w:spacing w:before="20" w:after="20" w:line="360" w:lineRule="atLeast"/>
      <w:textAlignment w:val="baseline"/>
    </w:pPr>
    <w:rPr>
      <w:rFonts w:ascii="Century Gothic" w:hAnsi="Century Gothic"/>
      <w:sz w:val="20"/>
    </w:rPr>
  </w:style>
  <w:style w:type="paragraph" w:styleId="101">
    <w:name w:val="List Paragraph"/>
    <w:basedOn w:val="1"/>
    <w:qFormat/>
    <w:uiPriority w:val="0"/>
    <w:pPr>
      <w:ind w:firstLine="420" w:firstLineChars="200"/>
    </w:pPr>
  </w:style>
  <w:style w:type="paragraph" w:customStyle="1" w:styleId="102">
    <w:name w:val="正文文本缩进1"/>
    <w:basedOn w:val="1"/>
    <w:uiPriority w:val="0"/>
    <w:pPr>
      <w:spacing w:after="120"/>
      <w:ind w:left="420" w:leftChars="200"/>
    </w:pPr>
    <w:rPr>
      <w:szCs w:val="21"/>
    </w:rPr>
  </w:style>
  <w:style w:type="paragraph" w:customStyle="1" w:styleId="103">
    <w:name w:val="正文2"/>
    <w:basedOn w:val="1"/>
    <w:uiPriority w:val="0"/>
    <w:pPr>
      <w:spacing w:line="300" w:lineRule="auto"/>
      <w:ind w:left="500" w:leftChars="500"/>
    </w:pPr>
    <w:rPr>
      <w:szCs w:val="21"/>
    </w:rPr>
  </w:style>
  <w:style w:type="paragraph" w:customStyle="1" w:styleId="104">
    <w:name w:val="索引 11"/>
    <w:basedOn w:val="1"/>
    <w:next w:val="1"/>
    <w:qFormat/>
    <w:uiPriority w:val="99"/>
    <w:rPr>
      <w:szCs w:val="21"/>
    </w:rPr>
  </w:style>
  <w:style w:type="paragraph" w:customStyle="1" w:styleId="105">
    <w:name w:val="文章正文"/>
    <w:basedOn w:val="1"/>
    <w:link w:val="106"/>
    <w:qFormat/>
    <w:uiPriority w:val="0"/>
    <w:pPr>
      <w:spacing w:line="360" w:lineRule="auto"/>
      <w:ind w:firstLine="200" w:firstLineChars="200"/>
    </w:pPr>
    <w:rPr>
      <w:rFonts w:ascii="Calibri" w:hAnsi="Calibri"/>
      <w:sz w:val="24"/>
      <w:szCs w:val="24"/>
    </w:rPr>
  </w:style>
  <w:style w:type="character" w:customStyle="1" w:styleId="106">
    <w:name w:val="文章正文 Char"/>
    <w:link w:val="105"/>
    <w:uiPriority w:val="0"/>
    <w:rPr>
      <w:rFonts w:ascii="Calibri" w:hAnsi="Calibri" w:eastAsia="宋体" w:cs="Times New Roman"/>
      <w:sz w:val="24"/>
      <w:szCs w:val="24"/>
    </w:rPr>
  </w:style>
  <w:style w:type="paragraph" w:customStyle="1" w:styleId="107">
    <w:name w:val="Normal_9"/>
    <w:qFormat/>
    <w:uiPriority w:val="0"/>
    <w:pPr>
      <w:spacing w:before="120" w:after="240"/>
      <w:jc w:val="both"/>
    </w:pPr>
    <w:rPr>
      <w:rFonts w:ascii="Calibri" w:hAnsi="Calibri" w:eastAsia="Calibri" w:cs="Times New Roman"/>
      <w:sz w:val="22"/>
      <w:szCs w:val="22"/>
      <w:lang w:val="en-US" w:eastAsia="en-US" w:bidi="ar-SA"/>
    </w:rPr>
  </w:style>
  <w:style w:type="paragraph" w:customStyle="1" w:styleId="108">
    <w:name w:val="Normal_31_0"/>
    <w:uiPriority w:val="0"/>
    <w:pPr>
      <w:spacing w:before="120" w:after="240"/>
      <w:jc w:val="both"/>
    </w:pPr>
    <w:rPr>
      <w:rFonts w:ascii="Calibri" w:hAnsi="Calibri" w:eastAsia="Calibri" w:cs="Times New Roman"/>
      <w:sz w:val="22"/>
      <w:szCs w:val="22"/>
      <w:lang w:val="en-US" w:eastAsia="en-US" w:bidi="ar-SA"/>
    </w:rPr>
  </w:style>
  <w:style w:type="paragraph" w:customStyle="1" w:styleId="109">
    <w:name w:val="Normal_11"/>
    <w:qFormat/>
    <w:uiPriority w:val="0"/>
    <w:pPr>
      <w:spacing w:before="120" w:after="240"/>
      <w:jc w:val="both"/>
    </w:pPr>
    <w:rPr>
      <w:rFonts w:ascii="Calibri" w:hAnsi="Calibri" w:eastAsia="Calibri" w:cs="Times New Roman"/>
      <w:sz w:val="22"/>
      <w:szCs w:val="22"/>
      <w:lang w:val="en-US" w:eastAsia="en-US" w:bidi="ar-SA"/>
    </w:rPr>
  </w:style>
  <w:style w:type="character" w:customStyle="1" w:styleId="110">
    <w:name w:val="正文首行缩进 Char"/>
    <w:basedOn w:val="72"/>
    <w:link w:val="40"/>
    <w:uiPriority w:val="99"/>
    <w:rPr>
      <w:rFonts w:ascii="Times New Roman" w:hAnsi="Times New Roman" w:eastAsia="宋体" w:cs="Times New Roman"/>
      <w:sz w:val="24"/>
      <w:szCs w:val="20"/>
    </w:rPr>
  </w:style>
  <w:style w:type="character" w:customStyle="1" w:styleId="111">
    <w:name w:val="正文首行缩进 2 Char"/>
    <w:basedOn w:val="70"/>
    <w:link w:val="41"/>
    <w:uiPriority w:val="99"/>
    <w:rPr>
      <w:rFonts w:ascii="Times New Roman" w:hAnsi="Times New Roman" w:eastAsia="宋体" w:cs="Times New Roman"/>
      <w:sz w:val="24"/>
      <w:szCs w:val="20"/>
    </w:rPr>
  </w:style>
  <w:style w:type="paragraph" w:customStyle="1" w:styleId="112">
    <w:name w:val="Normal_43"/>
    <w:qFormat/>
    <w:uiPriority w:val="0"/>
    <w:pPr>
      <w:spacing w:before="120" w:after="240"/>
      <w:jc w:val="both"/>
    </w:pPr>
    <w:rPr>
      <w:rFonts w:ascii="Calibri" w:hAnsi="Calibri" w:eastAsia="Calibri" w:cs="Times New Roman"/>
      <w:sz w:val="22"/>
      <w:szCs w:val="22"/>
      <w:lang w:val="en-US" w:eastAsia="en-US" w:bidi="ar-SA"/>
    </w:rPr>
  </w:style>
  <w:style w:type="paragraph" w:customStyle="1" w:styleId="113">
    <w:name w:val="Normal_44"/>
    <w:qFormat/>
    <w:uiPriority w:val="0"/>
    <w:pPr>
      <w:spacing w:before="120" w:after="240"/>
      <w:jc w:val="both"/>
    </w:pPr>
    <w:rPr>
      <w:rFonts w:ascii="Calibri" w:hAnsi="Calibri" w:eastAsia="Calibri" w:cs="Times New Roman"/>
      <w:sz w:val="22"/>
      <w:szCs w:val="22"/>
      <w:lang w:val="en-US" w:eastAsia="en-US" w:bidi="ar-SA"/>
    </w:rPr>
  </w:style>
  <w:style w:type="paragraph" w:customStyle="1" w:styleId="114">
    <w:name w:val="Normal_45"/>
    <w:uiPriority w:val="0"/>
    <w:pPr>
      <w:spacing w:before="120" w:after="240"/>
      <w:jc w:val="both"/>
    </w:pPr>
    <w:rPr>
      <w:rFonts w:ascii="Calibri" w:hAnsi="Calibri" w:eastAsia="Calibri" w:cs="Times New Roman"/>
      <w:sz w:val="22"/>
      <w:szCs w:val="22"/>
      <w:lang w:val="en-US" w:eastAsia="en-US" w:bidi="ar-SA"/>
    </w:rPr>
  </w:style>
  <w:style w:type="paragraph" w:customStyle="1" w:styleId="115">
    <w:name w:val="Normal_31"/>
    <w:qFormat/>
    <w:uiPriority w:val="0"/>
    <w:pPr>
      <w:spacing w:before="120" w:after="240"/>
      <w:jc w:val="both"/>
    </w:pPr>
    <w:rPr>
      <w:rFonts w:ascii="Calibri" w:hAnsi="Calibri" w:eastAsia="Calibri" w:cs="Times New Roman"/>
      <w:sz w:val="22"/>
      <w:szCs w:val="22"/>
      <w:lang w:val="en-US" w:eastAsia="en-US" w:bidi="ar-SA"/>
    </w:rPr>
  </w:style>
  <w:style w:type="paragraph" w:customStyle="1" w:styleId="116">
    <w:name w:val="Normal_47"/>
    <w:qFormat/>
    <w:uiPriority w:val="0"/>
    <w:pPr>
      <w:spacing w:before="120" w:after="240"/>
      <w:jc w:val="both"/>
    </w:pPr>
    <w:rPr>
      <w:rFonts w:ascii="Calibri" w:hAnsi="Calibri" w:eastAsia="Calibri" w:cs="Times New Roman"/>
      <w:sz w:val="22"/>
      <w:szCs w:val="22"/>
      <w:lang w:val="en-US" w:eastAsia="en-US" w:bidi="ar-SA"/>
    </w:rPr>
  </w:style>
  <w:style w:type="paragraph" w:customStyle="1" w:styleId="117">
    <w:name w:val="Normal_48"/>
    <w:qFormat/>
    <w:uiPriority w:val="0"/>
    <w:pPr>
      <w:spacing w:before="120" w:after="240"/>
      <w:jc w:val="both"/>
    </w:pPr>
    <w:rPr>
      <w:rFonts w:ascii="Calibri" w:hAnsi="Calibri" w:eastAsia="Calibri" w:cs="Times New Roman"/>
      <w:sz w:val="22"/>
      <w:szCs w:val="22"/>
      <w:lang w:val="en-US" w:eastAsia="en-US" w:bidi="ar-SA"/>
    </w:rPr>
  </w:style>
  <w:style w:type="paragraph" w:customStyle="1" w:styleId="118">
    <w:name w:val="Normal_49"/>
    <w:qFormat/>
    <w:uiPriority w:val="0"/>
    <w:pPr>
      <w:spacing w:before="120" w:after="240"/>
      <w:jc w:val="both"/>
    </w:pPr>
    <w:rPr>
      <w:rFonts w:ascii="Calibri" w:hAnsi="Calibri" w:eastAsia="Calibri" w:cs="Times New Roman"/>
      <w:sz w:val="22"/>
      <w:szCs w:val="22"/>
      <w:lang w:val="en-US" w:eastAsia="en-US" w:bidi="ar-SA"/>
    </w:rPr>
  </w:style>
  <w:style w:type="paragraph" w:customStyle="1" w:styleId="119">
    <w:name w:val="Normal_0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0">
    <w:name w:val="Normal_1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1">
    <w:name w:val="Normal_2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2">
    <w:name w:val="Normal_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3">
    <w:name w:val="Normal_4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4">
    <w:name w:val="Normal_5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5">
    <w:name w:val="Normal_6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6">
    <w:name w:val="Normal_7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7">
    <w:name w:val="Normal_8_0"/>
    <w:uiPriority w:val="0"/>
    <w:pPr>
      <w:spacing w:before="120" w:after="240"/>
      <w:jc w:val="both"/>
    </w:pPr>
    <w:rPr>
      <w:rFonts w:ascii="Calibri" w:hAnsi="Calibri" w:eastAsia="Calibri" w:cs="Times New Roman"/>
      <w:sz w:val="22"/>
      <w:szCs w:val="22"/>
      <w:lang w:val="en-US" w:eastAsia="en-US" w:bidi="ar-SA"/>
    </w:rPr>
  </w:style>
  <w:style w:type="paragraph" w:customStyle="1" w:styleId="128">
    <w:name w:val="Normal_9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29">
    <w:name w:val="Normal_10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30">
    <w:name w:val="Normal_11_0"/>
    <w:uiPriority w:val="0"/>
    <w:pPr>
      <w:spacing w:before="120" w:after="240"/>
      <w:jc w:val="both"/>
    </w:pPr>
    <w:rPr>
      <w:rFonts w:ascii="Calibri" w:hAnsi="Calibri" w:eastAsia="Calibri" w:cs="Times New Roman"/>
      <w:sz w:val="22"/>
      <w:szCs w:val="22"/>
      <w:lang w:val="en-US" w:eastAsia="en-US" w:bidi="ar-SA"/>
    </w:rPr>
  </w:style>
  <w:style w:type="paragraph" w:customStyle="1" w:styleId="131">
    <w:name w:val="Normal_12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32">
    <w:name w:val="Normal_1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33">
    <w:name w:val="Normal_14_0"/>
    <w:uiPriority w:val="0"/>
    <w:pPr>
      <w:spacing w:before="120" w:after="240"/>
      <w:jc w:val="both"/>
    </w:pPr>
    <w:rPr>
      <w:rFonts w:ascii="Calibri" w:hAnsi="Calibri" w:eastAsia="Calibri" w:cs="Times New Roman"/>
      <w:sz w:val="22"/>
      <w:szCs w:val="22"/>
      <w:lang w:val="en-US" w:eastAsia="en-US" w:bidi="ar-SA"/>
    </w:rPr>
  </w:style>
  <w:style w:type="paragraph" w:customStyle="1" w:styleId="134">
    <w:name w:val="Normal_15_0"/>
    <w:uiPriority w:val="0"/>
    <w:pPr>
      <w:spacing w:before="120" w:after="240"/>
      <w:jc w:val="both"/>
    </w:pPr>
    <w:rPr>
      <w:rFonts w:ascii="Calibri" w:hAnsi="Calibri" w:eastAsia="Calibri" w:cs="Times New Roman"/>
      <w:sz w:val="22"/>
      <w:szCs w:val="22"/>
      <w:lang w:val="en-US" w:eastAsia="en-US" w:bidi="ar-SA"/>
    </w:rPr>
  </w:style>
  <w:style w:type="paragraph" w:customStyle="1" w:styleId="135">
    <w:name w:val="Normal_16_0"/>
    <w:uiPriority w:val="0"/>
    <w:pPr>
      <w:spacing w:before="120" w:after="240"/>
      <w:jc w:val="both"/>
    </w:pPr>
    <w:rPr>
      <w:rFonts w:ascii="Calibri" w:hAnsi="Calibri" w:eastAsia="Calibri" w:cs="Times New Roman"/>
      <w:sz w:val="22"/>
      <w:szCs w:val="22"/>
      <w:lang w:val="en-US" w:eastAsia="en-US" w:bidi="ar-SA"/>
    </w:rPr>
  </w:style>
  <w:style w:type="paragraph" w:customStyle="1" w:styleId="136">
    <w:name w:val="Normal_17_0"/>
    <w:uiPriority w:val="0"/>
    <w:pPr>
      <w:spacing w:before="120" w:after="240"/>
      <w:jc w:val="both"/>
    </w:pPr>
    <w:rPr>
      <w:rFonts w:ascii="Calibri" w:hAnsi="Calibri" w:eastAsia="Calibri" w:cs="Times New Roman"/>
      <w:sz w:val="22"/>
      <w:szCs w:val="22"/>
      <w:lang w:val="en-US" w:eastAsia="en-US" w:bidi="ar-SA"/>
    </w:rPr>
  </w:style>
  <w:style w:type="paragraph" w:customStyle="1" w:styleId="137">
    <w:name w:val="Normal_18_0"/>
    <w:uiPriority w:val="0"/>
    <w:pPr>
      <w:spacing w:before="120" w:after="240"/>
      <w:jc w:val="both"/>
    </w:pPr>
    <w:rPr>
      <w:rFonts w:ascii="Calibri" w:hAnsi="Calibri" w:eastAsia="Calibri" w:cs="Times New Roman"/>
      <w:sz w:val="22"/>
      <w:szCs w:val="22"/>
      <w:lang w:val="en-US" w:eastAsia="en-US" w:bidi="ar-SA"/>
    </w:rPr>
  </w:style>
  <w:style w:type="paragraph" w:customStyle="1" w:styleId="138">
    <w:name w:val="Normal_19_0"/>
    <w:uiPriority w:val="0"/>
    <w:pPr>
      <w:spacing w:before="120" w:after="240"/>
      <w:jc w:val="both"/>
    </w:pPr>
    <w:rPr>
      <w:rFonts w:ascii="Calibri" w:hAnsi="Calibri" w:eastAsia="Calibri" w:cs="Times New Roman"/>
      <w:sz w:val="22"/>
      <w:szCs w:val="22"/>
      <w:lang w:val="en-US" w:eastAsia="en-US" w:bidi="ar-SA"/>
    </w:rPr>
  </w:style>
  <w:style w:type="paragraph" w:customStyle="1" w:styleId="139">
    <w:name w:val="Normal_20_0"/>
    <w:uiPriority w:val="0"/>
    <w:pPr>
      <w:spacing w:before="120" w:after="240"/>
      <w:jc w:val="both"/>
    </w:pPr>
    <w:rPr>
      <w:rFonts w:ascii="Calibri" w:hAnsi="Calibri" w:eastAsia="Calibri" w:cs="Times New Roman"/>
      <w:sz w:val="22"/>
      <w:szCs w:val="22"/>
      <w:lang w:val="en-US" w:eastAsia="en-US" w:bidi="ar-SA"/>
    </w:rPr>
  </w:style>
  <w:style w:type="paragraph" w:customStyle="1" w:styleId="140">
    <w:name w:val="Normal_2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41">
    <w:name w:val="Normal_24_0"/>
    <w:uiPriority w:val="0"/>
    <w:pPr>
      <w:spacing w:before="120" w:after="240"/>
      <w:jc w:val="both"/>
    </w:pPr>
    <w:rPr>
      <w:rFonts w:ascii="Calibri" w:hAnsi="Calibri" w:eastAsia="Calibri" w:cs="Times New Roman"/>
      <w:sz w:val="22"/>
      <w:szCs w:val="22"/>
      <w:lang w:val="en-US" w:eastAsia="en-US" w:bidi="ar-SA"/>
    </w:rPr>
  </w:style>
  <w:style w:type="paragraph" w:customStyle="1" w:styleId="142">
    <w:name w:val="Normal_28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43">
    <w:name w:val="Normal_29_0"/>
    <w:uiPriority w:val="0"/>
    <w:pPr>
      <w:spacing w:before="120" w:after="240"/>
      <w:jc w:val="both"/>
    </w:pPr>
    <w:rPr>
      <w:rFonts w:ascii="Calibri" w:hAnsi="Calibri" w:eastAsia="Calibri" w:cs="Times New Roman"/>
      <w:sz w:val="22"/>
      <w:szCs w:val="22"/>
      <w:lang w:val="en-US" w:eastAsia="en-US" w:bidi="ar-SA"/>
    </w:rPr>
  </w:style>
  <w:style w:type="paragraph" w:customStyle="1" w:styleId="144">
    <w:name w:val="Normal_30_0"/>
    <w:uiPriority w:val="0"/>
    <w:pPr>
      <w:spacing w:before="120" w:after="240"/>
      <w:jc w:val="both"/>
    </w:pPr>
    <w:rPr>
      <w:rFonts w:ascii="Calibri" w:hAnsi="Calibri" w:eastAsia="Calibri" w:cs="Times New Roman"/>
      <w:sz w:val="22"/>
      <w:szCs w:val="22"/>
      <w:lang w:val="en-US" w:eastAsia="en-US" w:bidi="ar-SA"/>
    </w:rPr>
  </w:style>
  <w:style w:type="paragraph" w:customStyle="1" w:styleId="145">
    <w:name w:val="Normal_34_0"/>
    <w:uiPriority w:val="0"/>
    <w:pPr>
      <w:spacing w:before="120" w:after="240"/>
      <w:jc w:val="both"/>
    </w:pPr>
    <w:rPr>
      <w:rFonts w:ascii="Calibri" w:hAnsi="Calibri" w:eastAsia="Calibri" w:cs="Times New Roman"/>
      <w:sz w:val="22"/>
      <w:szCs w:val="22"/>
      <w:lang w:val="en-US" w:eastAsia="en-US" w:bidi="ar-SA"/>
    </w:rPr>
  </w:style>
  <w:style w:type="paragraph" w:customStyle="1" w:styleId="146">
    <w:name w:val="Normal_35_0"/>
    <w:uiPriority w:val="0"/>
    <w:pPr>
      <w:spacing w:before="120" w:after="240"/>
      <w:jc w:val="both"/>
    </w:pPr>
    <w:rPr>
      <w:rFonts w:ascii="Calibri" w:hAnsi="Calibri" w:eastAsia="Calibri" w:cs="Times New Roman"/>
      <w:sz w:val="22"/>
      <w:szCs w:val="22"/>
      <w:lang w:val="en-US" w:eastAsia="en-US" w:bidi="ar-SA"/>
    </w:rPr>
  </w:style>
  <w:style w:type="paragraph" w:customStyle="1" w:styleId="147">
    <w:name w:val="Normal_43_0"/>
    <w:qFormat/>
    <w:uiPriority w:val="0"/>
    <w:pPr>
      <w:spacing w:before="120" w:after="240"/>
      <w:jc w:val="both"/>
    </w:pPr>
    <w:rPr>
      <w:rFonts w:ascii="Calibri" w:hAnsi="Calibri" w:eastAsia="Calibri" w:cs="Times New Roman"/>
      <w:sz w:val="22"/>
      <w:szCs w:val="22"/>
      <w:lang w:val="en-US" w:eastAsia="en-US" w:bidi="ar-SA"/>
    </w:rPr>
  </w:style>
  <w:style w:type="paragraph" w:customStyle="1" w:styleId="148">
    <w:name w:val="Normal_45_0"/>
    <w:uiPriority w:val="0"/>
    <w:pPr>
      <w:spacing w:before="120" w:after="240"/>
      <w:jc w:val="both"/>
    </w:pPr>
    <w:rPr>
      <w:rFonts w:ascii="Calibri" w:hAnsi="Calibri" w:eastAsia="Calibri" w:cs="Times New Roman"/>
      <w:sz w:val="22"/>
      <w:szCs w:val="22"/>
      <w:lang w:val="en-US" w:eastAsia="en-US" w:bidi="ar-SA"/>
    </w:rPr>
  </w:style>
  <w:style w:type="paragraph" w:customStyle="1" w:styleId="149">
    <w:name w:val="Normal_1_1"/>
    <w:qFormat/>
    <w:uiPriority w:val="0"/>
    <w:pPr>
      <w:spacing w:before="120" w:after="240"/>
      <w:jc w:val="both"/>
    </w:pPr>
    <w:rPr>
      <w:rFonts w:ascii="Calibri" w:hAnsi="Calibri" w:eastAsia="Calibri" w:cs="Times New Roman"/>
      <w:sz w:val="22"/>
      <w:szCs w:val="22"/>
      <w:lang w:val="en-US" w:eastAsia="en-US" w:bidi="ar-SA"/>
    </w:rPr>
  </w:style>
  <w:style w:type="paragraph" w:customStyle="1" w:styleId="150">
    <w:name w:val="Normal_21"/>
    <w:qFormat/>
    <w:uiPriority w:val="0"/>
    <w:pPr>
      <w:spacing w:before="120" w:after="240"/>
      <w:jc w:val="both"/>
    </w:pPr>
    <w:rPr>
      <w:rFonts w:ascii="Calibri" w:hAnsi="Calibri" w:eastAsia="Calibri" w:cs="Times New Roman"/>
      <w:sz w:val="22"/>
      <w:szCs w:val="22"/>
      <w:lang w:val="en-US" w:eastAsia="en-US" w:bidi="ar-SA"/>
    </w:rPr>
  </w:style>
  <w:style w:type="paragraph" w:customStyle="1" w:styleId="151">
    <w:name w:val="Normal_22"/>
    <w:uiPriority w:val="0"/>
    <w:pPr>
      <w:spacing w:before="120" w:after="240"/>
      <w:jc w:val="both"/>
    </w:pPr>
    <w:rPr>
      <w:rFonts w:ascii="Calibri" w:hAnsi="Calibri" w:eastAsia="Calibri" w:cs="Times New Roman"/>
      <w:sz w:val="22"/>
      <w:szCs w:val="22"/>
      <w:lang w:val="en-US" w:eastAsia="en-US" w:bidi="ar-SA"/>
    </w:rPr>
  </w:style>
  <w:style w:type="paragraph" w:customStyle="1" w:styleId="152">
    <w:name w:val="Normal_23"/>
    <w:uiPriority w:val="0"/>
    <w:pPr>
      <w:spacing w:before="120" w:after="240"/>
      <w:jc w:val="both"/>
    </w:pPr>
    <w:rPr>
      <w:rFonts w:ascii="Calibri" w:hAnsi="Calibri" w:eastAsia="Calibri" w:cs="Times New Roman"/>
      <w:sz w:val="22"/>
      <w:szCs w:val="22"/>
      <w:lang w:val="en-US" w:eastAsia="en-US" w:bidi="ar-SA"/>
    </w:rPr>
  </w:style>
  <w:style w:type="paragraph" w:customStyle="1" w:styleId="153">
    <w:name w:val="Normal_24"/>
    <w:uiPriority w:val="0"/>
    <w:pPr>
      <w:spacing w:before="120" w:after="240"/>
      <w:jc w:val="both"/>
    </w:pPr>
    <w:rPr>
      <w:rFonts w:ascii="Calibri" w:hAnsi="Calibri" w:eastAsia="Calibri" w:cs="Times New Roman"/>
      <w:sz w:val="22"/>
      <w:szCs w:val="22"/>
      <w:lang w:val="en-US" w:eastAsia="en-US" w:bidi="ar-SA"/>
    </w:rPr>
  </w:style>
  <w:style w:type="paragraph" w:customStyle="1" w:styleId="154">
    <w:name w:val="Normal_25"/>
    <w:uiPriority w:val="0"/>
    <w:pPr>
      <w:spacing w:before="120" w:after="240"/>
      <w:jc w:val="both"/>
    </w:pPr>
    <w:rPr>
      <w:rFonts w:ascii="Calibri" w:hAnsi="Calibri" w:eastAsia="Calibri" w:cs="Times New Roman"/>
      <w:sz w:val="22"/>
      <w:szCs w:val="22"/>
      <w:lang w:val="en-US" w:eastAsia="en-US" w:bidi="ar-SA"/>
    </w:rPr>
  </w:style>
  <w:style w:type="paragraph" w:customStyle="1" w:styleId="155">
    <w:name w:val="Normal_26"/>
    <w:uiPriority w:val="0"/>
    <w:pPr>
      <w:spacing w:before="120" w:after="240"/>
      <w:jc w:val="both"/>
    </w:pPr>
    <w:rPr>
      <w:rFonts w:ascii="Calibri" w:hAnsi="Calibri" w:eastAsia="Calibri" w:cs="Times New Roman"/>
      <w:sz w:val="22"/>
      <w:szCs w:val="22"/>
      <w:lang w:val="en-US" w:eastAsia="en-US" w:bidi="ar-SA"/>
    </w:rPr>
  </w:style>
  <w:style w:type="paragraph" w:customStyle="1" w:styleId="156">
    <w:name w:val="Normal_27"/>
    <w:uiPriority w:val="0"/>
    <w:pPr>
      <w:spacing w:before="120" w:after="240"/>
      <w:jc w:val="both"/>
    </w:pPr>
    <w:rPr>
      <w:rFonts w:ascii="Calibri" w:hAnsi="Calibri" w:eastAsia="Calibri" w:cs="Times New Roman"/>
      <w:sz w:val="22"/>
      <w:szCs w:val="22"/>
      <w:lang w:val="en-US" w:eastAsia="en-US" w:bidi="ar-SA"/>
    </w:rPr>
  </w:style>
  <w:style w:type="paragraph" w:customStyle="1" w:styleId="157">
    <w:name w:val="Normal_28"/>
    <w:qFormat/>
    <w:uiPriority w:val="0"/>
    <w:pPr>
      <w:spacing w:before="120" w:after="240"/>
      <w:jc w:val="both"/>
    </w:pPr>
    <w:rPr>
      <w:rFonts w:ascii="Calibri" w:hAnsi="Calibri" w:eastAsia="Calibri" w:cs="Times New Roman"/>
      <w:sz w:val="22"/>
      <w:szCs w:val="22"/>
      <w:lang w:val="en-US" w:eastAsia="en-US" w:bidi="ar-SA"/>
    </w:rPr>
  </w:style>
  <w:style w:type="paragraph" w:customStyle="1" w:styleId="158">
    <w:name w:val="Normal_29"/>
    <w:uiPriority w:val="0"/>
    <w:pPr>
      <w:spacing w:before="120" w:after="240"/>
      <w:jc w:val="both"/>
    </w:pPr>
    <w:rPr>
      <w:rFonts w:ascii="Calibri" w:hAnsi="Calibri" w:eastAsia="Calibri" w:cs="Times New Roman"/>
      <w:sz w:val="22"/>
      <w:szCs w:val="22"/>
      <w:lang w:val="en-US" w:eastAsia="en-US" w:bidi="ar-SA"/>
    </w:rPr>
  </w:style>
  <w:style w:type="paragraph" w:customStyle="1" w:styleId="159">
    <w:name w:val="Normal_30"/>
    <w:qFormat/>
    <w:uiPriority w:val="0"/>
    <w:pPr>
      <w:spacing w:before="120" w:after="240"/>
      <w:jc w:val="both"/>
    </w:pPr>
    <w:rPr>
      <w:rFonts w:ascii="Calibri" w:hAnsi="Calibri" w:eastAsia="Calibri" w:cs="Times New Roman"/>
      <w:sz w:val="22"/>
      <w:szCs w:val="22"/>
      <w:lang w:val="en-US" w:eastAsia="en-US" w:bidi="ar-SA"/>
    </w:rPr>
  </w:style>
  <w:style w:type="paragraph" w:customStyle="1" w:styleId="160">
    <w:name w:val="Normal_32"/>
    <w:qFormat/>
    <w:uiPriority w:val="0"/>
    <w:pPr>
      <w:spacing w:before="120" w:after="240"/>
      <w:jc w:val="both"/>
    </w:pPr>
    <w:rPr>
      <w:rFonts w:ascii="Calibri" w:hAnsi="Calibri" w:eastAsia="Calibri" w:cs="Times New Roman"/>
      <w:sz w:val="22"/>
      <w:szCs w:val="22"/>
      <w:lang w:val="en-US" w:eastAsia="en-US" w:bidi="ar-SA"/>
    </w:rPr>
  </w:style>
  <w:style w:type="paragraph" w:customStyle="1" w:styleId="161">
    <w:name w:val="Normal_33"/>
    <w:uiPriority w:val="0"/>
    <w:pPr>
      <w:spacing w:before="120" w:after="240"/>
      <w:jc w:val="both"/>
    </w:pPr>
    <w:rPr>
      <w:rFonts w:ascii="Calibri" w:hAnsi="Calibri" w:eastAsia="Calibri" w:cs="Times New Roman"/>
      <w:sz w:val="22"/>
      <w:szCs w:val="22"/>
      <w:lang w:val="en-US" w:eastAsia="en-US" w:bidi="ar-SA"/>
    </w:rPr>
  </w:style>
  <w:style w:type="paragraph" w:customStyle="1" w:styleId="162">
    <w:name w:val="Normal_34"/>
    <w:uiPriority w:val="0"/>
    <w:pPr>
      <w:spacing w:before="120" w:after="240"/>
      <w:jc w:val="both"/>
    </w:pPr>
    <w:rPr>
      <w:rFonts w:ascii="Calibri" w:hAnsi="Calibri" w:eastAsia="Calibri" w:cs="Times New Roman"/>
      <w:sz w:val="22"/>
      <w:szCs w:val="22"/>
      <w:lang w:val="en-US" w:eastAsia="en-US" w:bidi="ar-SA"/>
    </w:rPr>
  </w:style>
  <w:style w:type="paragraph" w:customStyle="1" w:styleId="163">
    <w:name w:val="Normal_1"/>
    <w:qFormat/>
    <w:uiPriority w:val="0"/>
    <w:pPr>
      <w:spacing w:before="120" w:after="240"/>
      <w:jc w:val="both"/>
    </w:pPr>
    <w:rPr>
      <w:rFonts w:ascii="Calibri" w:hAnsi="Calibri" w:eastAsia="Calibri" w:cs="Times New Roman"/>
      <w:sz w:val="22"/>
      <w:szCs w:val="22"/>
      <w:lang w:val="en-US" w:eastAsia="en-US" w:bidi="ar-SA"/>
    </w:rPr>
  </w:style>
  <w:style w:type="character" w:customStyle="1" w:styleId="164">
    <w:name w:val="页脚 字符"/>
    <w:qFormat/>
    <w:uiPriority w:val="99"/>
  </w:style>
  <w:style w:type="character" w:customStyle="1" w:styleId="165">
    <w:name w:val="font161"/>
    <w:uiPriority w:val="0"/>
    <w:rPr>
      <w:b/>
      <w:bCs/>
      <w:sz w:val="32"/>
      <w:szCs w:val="32"/>
    </w:rPr>
  </w:style>
  <w:style w:type="paragraph" w:customStyle="1" w:styleId="166">
    <w:name w:val="Normal_20"/>
    <w:uiPriority w:val="0"/>
    <w:pPr>
      <w:spacing w:before="120" w:after="240"/>
      <w:jc w:val="both"/>
    </w:pPr>
    <w:rPr>
      <w:rFonts w:ascii="Calibri" w:hAnsi="Calibri" w:eastAsia="Calibri" w:cs="Times New Roman"/>
      <w:sz w:val="22"/>
      <w:szCs w:val="22"/>
      <w:lang w:val="en-US" w:eastAsia="en-US" w:bidi="ar-SA"/>
    </w:rPr>
  </w:style>
  <w:style w:type="paragraph" w:customStyle="1" w:styleId="167">
    <w:name w:val="Char Char Char Char Char Char"/>
    <w:basedOn w:val="1"/>
    <w:uiPriority w:val="0"/>
    <w:pPr>
      <w:spacing w:before="0" w:after="0"/>
    </w:pPr>
    <w:rPr>
      <w:szCs w:val="24"/>
    </w:rPr>
  </w:style>
  <w:style w:type="paragraph" w:customStyle="1" w:styleId="168">
    <w:name w:val="_Style 18"/>
    <w:qFormat/>
    <w:uiPriority w:val="0"/>
    <w:pPr>
      <w:widowControl w:val="0"/>
      <w:spacing w:before="260" w:after="260"/>
      <w:jc w:val="both"/>
    </w:pPr>
    <w:rPr>
      <w:rFonts w:ascii="Times New Roman" w:hAnsi="Times New Roman" w:eastAsia="宋体" w:cs="Times New Roman"/>
      <w:kern w:val="2"/>
      <w:sz w:val="21"/>
      <w:lang w:val="en-US" w:eastAsia="zh-CN" w:bidi="ar-SA"/>
    </w:rPr>
  </w:style>
  <w:style w:type="paragraph" w:customStyle="1" w:styleId="169">
    <w:name w:val="修订11"/>
    <w:qFormat/>
    <w:uiPriority w:val="0"/>
    <w:pPr>
      <w:spacing w:before="260" w:after="260"/>
      <w:jc w:val="both"/>
    </w:pPr>
    <w:rPr>
      <w:rFonts w:ascii="Times New Roman" w:hAnsi="Times New Roman" w:eastAsia="宋体" w:cs="Times New Roman"/>
      <w:kern w:val="2"/>
      <w:sz w:val="21"/>
      <w:lang w:val="en-US" w:eastAsia="zh-CN" w:bidi="ar-SA"/>
    </w:rPr>
  </w:style>
  <w:style w:type="paragraph" w:customStyle="1" w:styleId="170">
    <w:name w:val="TOC 标题11"/>
    <w:basedOn w:val="2"/>
    <w:next w:val="1"/>
    <w:qFormat/>
    <w:uiPriority w:val="39"/>
    <w:pPr>
      <w:widowControl/>
      <w:spacing w:before="480" w:afterLines="50" w:line="276" w:lineRule="auto"/>
      <w:jc w:val="left"/>
      <w:outlineLvl w:val="9"/>
    </w:pPr>
    <w:rPr>
      <w:rFonts w:ascii="Cambria" w:hAnsi="Cambria"/>
      <w:color w:val="365F91"/>
      <w:kern w:val="0"/>
      <w:sz w:val="28"/>
      <w:szCs w:val="28"/>
    </w:rPr>
  </w:style>
  <w:style w:type="character" w:customStyle="1" w:styleId="171">
    <w:name w:val="未处理的提及1"/>
    <w:basedOn w:val="44"/>
    <w:semiHidden/>
    <w:unhideWhenUsed/>
    <w:uiPriority w:val="99"/>
    <w:rPr>
      <w:color w:val="808080"/>
      <w:shd w:val="clear" w:color="auto" w:fill="E6E6E6"/>
    </w:rPr>
  </w:style>
  <w:style w:type="character" w:customStyle="1" w:styleId="172">
    <w:name w:val="未处理的提及2"/>
    <w:basedOn w:val="44"/>
    <w:semiHidden/>
    <w:unhideWhenUsed/>
    <w:uiPriority w:val="99"/>
    <w:rPr>
      <w:color w:val="808080"/>
      <w:shd w:val="clear" w:color="auto" w:fill="E6E6E6"/>
    </w:rPr>
  </w:style>
  <w:style w:type="character" w:customStyle="1" w:styleId="173">
    <w:name w:val="未处理的提及3"/>
    <w:basedOn w:val="44"/>
    <w:semiHidden/>
    <w:unhideWhenUsed/>
    <w:uiPriority w:val="99"/>
    <w:rPr>
      <w:color w:val="808080"/>
      <w:shd w:val="clear" w:color="auto" w:fill="E6E6E6"/>
    </w:rPr>
  </w:style>
  <w:style w:type="paragraph" w:customStyle="1" w:styleId="174">
    <w:name w:val="Char Char Char Char Char Char Char"/>
    <w:basedOn w:val="1"/>
    <w:uiPriority w:val="0"/>
    <w:pPr>
      <w:spacing w:before="0" w:after="0" w:line="240" w:lineRule="atLeast"/>
      <w:ind w:left="420" w:firstLine="420"/>
    </w:pPr>
    <w:rPr>
      <w:rFonts w:ascii="Times New Roman" w:hAnsi="Times New Roman" w:eastAsia="宋体" w:cs="Times New Roman"/>
      <w:kern w:val="0"/>
      <w:szCs w:val="21"/>
    </w:rPr>
  </w:style>
  <w:style w:type="character" w:customStyle="1" w:styleId="175">
    <w:name w:val="样式 仿宋"/>
    <w:uiPriority w:val="0"/>
    <w:rPr>
      <w:rFonts w:ascii="仿宋" w:hAnsi="仿宋" w:eastAsia="仿宋"/>
      <w:kern w:val="1"/>
    </w:rPr>
  </w:style>
  <w:style w:type="character" w:customStyle="1" w:styleId="176">
    <w:name w:val="楷体 (中文) 楷体"/>
    <w:uiPriority w:val="0"/>
    <w:rPr>
      <w:rFonts w:ascii="楷体" w:hAnsi="楷体" w:eastAsia="楷体"/>
      <w:kern w:val="1"/>
      <w:sz w:val="28"/>
    </w:rPr>
  </w:style>
  <w:style w:type="paragraph" w:customStyle="1" w:styleId="177">
    <w:name w:val="Char Char Char1 Char8"/>
    <w:basedOn w:val="1"/>
    <w:semiHidden/>
    <w:uiPriority w:val="0"/>
    <w:pPr>
      <w:spacing w:before="0" w:after="0" w:line="360" w:lineRule="auto"/>
      <w:ind w:firstLine="200" w:firstLineChars="200"/>
    </w:pPr>
    <w:rPr>
      <w:rFonts w:ascii="宋体" w:hAnsi="宋体" w:eastAsia="宋体" w:cs="宋体"/>
      <w:sz w:val="24"/>
      <w:szCs w:val="24"/>
    </w:rPr>
  </w:style>
  <w:style w:type="paragraph" w:customStyle="1" w:styleId="178">
    <w:name w:val="样式1"/>
    <w:basedOn w:val="1"/>
    <w:uiPriority w:val="0"/>
    <w:pPr>
      <w:widowControl/>
      <w:autoSpaceDE w:val="0"/>
      <w:autoSpaceDN w:val="0"/>
      <w:adjustRightInd w:val="0"/>
      <w:spacing w:before="0" w:after="0" w:line="360" w:lineRule="auto"/>
      <w:jc w:val="center"/>
    </w:pPr>
    <w:rPr>
      <w:rFonts w:ascii="黑体" w:hAnsi="Times New Roman" w:eastAsia="黑体" w:cs="黑体"/>
      <w:kern w:val="0"/>
      <w:sz w:val="30"/>
      <w:szCs w:val="30"/>
      <w:u w:color="0000FF"/>
    </w:rPr>
  </w:style>
  <w:style w:type="paragraph" w:customStyle="1" w:styleId="179">
    <w:name w:val="样式 宋体 四号 居中 行距: 1.5 倍行距"/>
    <w:basedOn w:val="1"/>
    <w:uiPriority w:val="0"/>
    <w:pPr>
      <w:spacing w:before="0" w:after="0" w:line="360" w:lineRule="auto"/>
      <w:jc w:val="center"/>
    </w:pPr>
    <w:rPr>
      <w:rFonts w:ascii="宋体" w:hAnsi="Cambria" w:eastAsia="宋体" w:cs="宋体"/>
      <w:sz w:val="28"/>
      <w:szCs w:val="20"/>
    </w:rPr>
  </w:style>
  <w:style w:type="paragraph" w:customStyle="1" w:styleId="180">
    <w:name w:val="样式 仿宋 行距: 1.5 倍行距"/>
    <w:basedOn w:val="1"/>
    <w:uiPriority w:val="0"/>
    <w:pPr>
      <w:spacing w:before="0" w:after="0" w:line="360" w:lineRule="auto"/>
    </w:pPr>
    <w:rPr>
      <w:rFonts w:ascii="仿宋" w:hAnsi="仿宋" w:eastAsia="仿宋" w:cs="宋体"/>
      <w:sz w:val="24"/>
      <w:szCs w:val="20"/>
    </w:rPr>
  </w:style>
  <w:style w:type="paragraph" w:customStyle="1" w:styleId="181">
    <w:name w:val="仿宋"/>
    <w:basedOn w:val="1"/>
    <w:uiPriority w:val="0"/>
    <w:pPr>
      <w:widowControl/>
      <w:autoSpaceDE w:val="0"/>
      <w:autoSpaceDN w:val="0"/>
      <w:adjustRightInd w:val="0"/>
      <w:spacing w:before="0" w:after="0" w:line="360" w:lineRule="auto"/>
      <w:ind w:firstLine="480"/>
      <w:outlineLvl w:val="0"/>
    </w:pPr>
    <w:rPr>
      <w:rFonts w:ascii="Cambria" w:hAnsi="Cambria" w:eastAsia="宋体" w:cs="Times New Roman"/>
      <w:sz w:val="24"/>
      <w:szCs w:val="24"/>
    </w:rPr>
  </w:style>
  <w:style w:type="paragraph" w:customStyle="1" w:styleId="182">
    <w:name w:val="样式3"/>
    <w:basedOn w:val="2"/>
    <w:uiPriority w:val="0"/>
    <w:rPr>
      <w:rFonts w:ascii="Arial" w:hAnsi="Arial" w:eastAsia="宋体" w:cs="Arial"/>
      <w:kern w:val="1"/>
      <w:sz w:val="30"/>
    </w:rPr>
  </w:style>
  <w:style w:type="paragraph" w:customStyle="1" w:styleId="183">
    <w:name w:val="样式１"/>
    <w:basedOn w:val="2"/>
    <w:uiPriority w:val="0"/>
    <w:pPr>
      <w:jc w:val="center"/>
    </w:pPr>
    <w:rPr>
      <w:rFonts w:ascii="Arial" w:hAnsi="Arial" w:eastAsia="宋体" w:cs="Arial"/>
      <w:kern w:val="1"/>
      <w:sz w:val="30"/>
    </w:rPr>
  </w:style>
  <w:style w:type="paragraph" w:customStyle="1" w:styleId="184">
    <w:name w:val="样式 标题 1 + (西文) 黑体 (中文) 黑体 小三 蓝色"/>
    <w:basedOn w:val="2"/>
    <w:uiPriority w:val="0"/>
    <w:rPr>
      <w:rFonts w:ascii="黑体" w:hAnsi="黑体" w:eastAsia="黑体" w:cs="Arial"/>
      <w:sz w:val="30"/>
      <w:u w:color="0000FF"/>
    </w:rPr>
  </w:style>
  <w:style w:type="paragraph" w:customStyle="1" w:styleId="185">
    <w:name w:val="样式 样式 标题 1 + (西文) 黑体 (中文) 黑体 小三 蓝色 + 非加粗 居中"/>
    <w:basedOn w:val="184"/>
    <w:uiPriority w:val="0"/>
    <w:pPr>
      <w:jc w:val="center"/>
    </w:pPr>
    <w:rPr>
      <w:rFonts w:cs="宋体"/>
      <w:b w:val="0"/>
      <w:bCs w:val="0"/>
      <w:szCs w:val="20"/>
    </w:rPr>
  </w:style>
  <w:style w:type="paragraph" w:customStyle="1" w:styleId="186">
    <w:name w:val="Char Char Char Char"/>
    <w:basedOn w:val="1"/>
    <w:uiPriority w:val="0"/>
    <w:pPr>
      <w:spacing w:before="0" w:after="0"/>
    </w:pPr>
    <w:rPr>
      <w:rFonts w:ascii="Times New Roman" w:hAnsi="Times New Roman" w:eastAsia="宋体" w:cs="Times New Roman"/>
      <w:szCs w:val="20"/>
    </w:rPr>
  </w:style>
  <w:style w:type="character" w:customStyle="1" w:styleId="187">
    <w:name w:val="正文文本缩进 Char1"/>
    <w:uiPriority w:val="0"/>
    <w:rPr>
      <w:rFonts w:ascii="Cambria" w:hAnsi="Cambria"/>
      <w:kern w:val="2"/>
      <w:sz w:val="24"/>
      <w:szCs w:val="24"/>
    </w:rPr>
  </w:style>
  <w:style w:type="paragraph" w:customStyle="1" w:styleId="188">
    <w:name w:val="_Style 8"/>
    <w:basedOn w:val="1"/>
    <w:uiPriority w:val="0"/>
    <w:pPr>
      <w:tabs>
        <w:tab w:val="left" w:pos="360"/>
      </w:tabs>
      <w:spacing w:before="0" w:after="0"/>
    </w:pPr>
    <w:rPr>
      <w:rFonts w:ascii="Times New Roman" w:hAnsi="Times New Roman" w:eastAsia="宋体" w:cs="Times New Roman"/>
      <w:sz w:val="24"/>
      <w:szCs w:val="24"/>
    </w:rPr>
  </w:style>
  <w:style w:type="table" w:customStyle="1" w:styleId="189">
    <w:name w:val="网格型1"/>
    <w:basedOn w:val="4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网格型11"/>
    <w:basedOn w:val="42"/>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1">
    <w:name w:val="网格型2"/>
    <w:basedOn w:val="42"/>
    <w:qFormat/>
    <w:uiPriority w:val="99"/>
    <w:rPr>
      <w:rFonts w:ascii="等线" w:hAnsi="等线" w:eastAsia="等线"/>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EF6A7B-D653-47F5-9E80-69EE5F287BE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61</Pages>
  <Words>4817</Words>
  <Characters>27458</Characters>
  <Lines>228</Lines>
  <Paragraphs>64</Paragraphs>
  <TotalTime>66</TotalTime>
  <ScaleCrop>false</ScaleCrop>
  <LinksUpToDate>false</LinksUpToDate>
  <CharactersWithSpaces>32211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2021-01-13T10:39:00Z</dcterms:created>
  <dc:creator>吴险峰</dc:creator>
  <cp:lastModifiedBy>僮</cp:lastModifiedBy>
  <cp:lastPrinted>2019-08-23T10:59:00Z</cp:lastPrinted>
  <dcterms:modified xsi:type="dcterms:W3CDTF">2021-01-13T14:38:35Z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